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919A" w14:textId="77777777" w:rsidR="001A1186" w:rsidRPr="005A3063" w:rsidRDefault="001A1186" w:rsidP="00D368C9">
      <w:pPr>
        <w:pStyle w:val="Titre2"/>
        <w:spacing w:before="100" w:beforeAutospacing="1" w:after="100" w:afterAutospacing="1" w:line="240" w:lineRule="auto"/>
        <w:contextualSpacing/>
        <w:jc w:val="center"/>
        <w:rPr>
          <w:rFonts w:asciiTheme="minorHAnsi" w:hAnsiTheme="minorHAnsi"/>
          <w:color w:val="auto"/>
          <w:sz w:val="28"/>
          <w:szCs w:val="28"/>
          <w:lang w:val="fr-FR"/>
        </w:rPr>
      </w:pPr>
      <w:r w:rsidRPr="005A3063">
        <w:rPr>
          <w:rFonts w:asciiTheme="minorHAnsi" w:hAnsiTheme="minorHAnsi"/>
          <w:color w:val="auto"/>
          <w:sz w:val="28"/>
          <w:szCs w:val="28"/>
          <w:lang w:val="fr-FR"/>
        </w:rPr>
        <w:t>TRIBUNAL DU TRAVAIL DE LIEGE</w:t>
      </w:r>
    </w:p>
    <w:p w14:paraId="2C59919B" w14:textId="5E61AA2C" w:rsidR="001A1186" w:rsidRPr="00577DF5" w:rsidRDefault="00577DF5" w:rsidP="00577DF5">
      <w:pPr>
        <w:spacing w:before="100" w:beforeAutospacing="1" w:after="100" w:afterAutospacing="1" w:line="240" w:lineRule="auto"/>
        <w:contextualSpacing/>
        <w:rPr>
          <w:b/>
          <w:u w:val="single"/>
          <w:lang w:val="fr-FR"/>
        </w:rPr>
      </w:pPr>
      <w:proofErr w:type="spellStart"/>
      <w:r w:rsidRPr="00577DF5">
        <w:rPr>
          <w:b/>
          <w:u w:val="single"/>
          <w:lang w:val="fr-FR"/>
        </w:rPr>
        <w:t>Rép</w:t>
      </w:r>
      <w:proofErr w:type="spellEnd"/>
      <w:r w:rsidRPr="00577DF5">
        <w:rPr>
          <w:b/>
          <w:u w:val="single"/>
          <w:lang w:val="fr-FR"/>
        </w:rPr>
        <w:t>. n°</w:t>
      </w:r>
      <w:r>
        <w:rPr>
          <w:b/>
          <w:u w:val="single"/>
          <w:lang w:val="fr-FR"/>
        </w:rPr>
        <w:t xml:space="preserve"> 23/</w:t>
      </w:r>
    </w:p>
    <w:p w14:paraId="2C59919C" w14:textId="77777777" w:rsidR="001A1186" w:rsidRPr="005A3063" w:rsidRDefault="003A20CF" w:rsidP="00D368C9">
      <w:pPr>
        <w:spacing w:before="100" w:beforeAutospacing="1" w:after="100" w:afterAutospacing="1" w:line="240" w:lineRule="auto"/>
        <w:contextualSpacing/>
        <w:jc w:val="center"/>
        <w:rPr>
          <w:b/>
          <w:sz w:val="28"/>
          <w:szCs w:val="28"/>
          <w:u w:val="single"/>
          <w:lang w:val="fr-FR"/>
        </w:rPr>
      </w:pPr>
      <w:r w:rsidRPr="005A3063">
        <w:rPr>
          <w:b/>
          <w:sz w:val="28"/>
          <w:szCs w:val="28"/>
          <w:u w:val="single"/>
          <w:lang w:val="fr-FR"/>
        </w:rPr>
        <w:t xml:space="preserve">ORDONNANCE </w:t>
      </w:r>
    </w:p>
    <w:p w14:paraId="2CE78F42" w14:textId="77777777" w:rsidR="005A3063" w:rsidRDefault="005A3063" w:rsidP="00D368C9">
      <w:pPr>
        <w:spacing w:before="100" w:beforeAutospacing="1" w:after="100" w:afterAutospacing="1" w:line="240" w:lineRule="auto"/>
        <w:contextualSpacing/>
        <w:jc w:val="center"/>
        <w:rPr>
          <w:sz w:val="24"/>
          <w:szCs w:val="24"/>
          <w:u w:val="single"/>
          <w:lang w:val="fr-FR"/>
        </w:rPr>
      </w:pPr>
    </w:p>
    <w:p w14:paraId="2C59919E" w14:textId="51044C15" w:rsidR="008F71B9" w:rsidRDefault="008F71B9" w:rsidP="00F87BEC">
      <w:pPr>
        <w:spacing w:before="100" w:beforeAutospacing="1" w:after="100" w:afterAutospacing="1" w:line="240" w:lineRule="auto"/>
        <w:contextualSpacing/>
        <w:rPr>
          <w:sz w:val="24"/>
          <w:szCs w:val="24"/>
          <w:u w:val="single"/>
          <w:lang w:val="fr-FR"/>
        </w:rPr>
      </w:pPr>
      <w:r w:rsidRPr="005A3063">
        <w:rPr>
          <w:sz w:val="24"/>
          <w:szCs w:val="24"/>
          <w:u w:val="single"/>
          <w:lang w:val="fr-FR"/>
        </w:rPr>
        <w:t>Loi du 10 mai 2007 tendant à lutter contre certaines formes de discrimination – Article 20 – Action en cessation « discrimination »</w:t>
      </w:r>
    </w:p>
    <w:p w14:paraId="31A0FA6F" w14:textId="77777777" w:rsidR="00F87BEC" w:rsidRDefault="00F87BEC" w:rsidP="00F87BEC">
      <w:pPr>
        <w:spacing w:before="100" w:beforeAutospacing="1" w:after="100" w:afterAutospacing="1" w:line="240" w:lineRule="auto"/>
        <w:contextualSpacing/>
        <w:rPr>
          <w:sz w:val="24"/>
          <w:szCs w:val="24"/>
          <w:u w:val="single"/>
          <w:lang w:val="fr-FR"/>
        </w:rPr>
      </w:pPr>
    </w:p>
    <w:p w14:paraId="609261E8" w14:textId="08CDCB4A" w:rsidR="00F87BEC" w:rsidRDefault="00392DC4" w:rsidP="00F87BEC">
      <w:pPr>
        <w:spacing w:before="100" w:beforeAutospacing="1" w:after="100" w:afterAutospacing="1" w:line="240" w:lineRule="auto"/>
        <w:contextualSpacing/>
        <w:rPr>
          <w:sz w:val="24"/>
          <w:szCs w:val="24"/>
          <w:u w:val="single"/>
          <w:lang w:val="fr-FR"/>
        </w:rPr>
      </w:pPr>
      <w:r w:rsidRPr="00392DC4">
        <w:rPr>
          <w:rFonts w:cstheme="minorHAnsi"/>
          <w:bCs/>
          <w:sz w:val="24"/>
          <w:szCs w:val="24"/>
          <w:u w:val="single"/>
          <w:lang w:val="fr-BE"/>
        </w:rPr>
        <w:t>Décret du 6 novembre 2008 relatif à la lutte contre certaines formes de discrimination</w:t>
      </w:r>
      <w:r w:rsidR="00F87BEC" w:rsidRPr="005A3063">
        <w:rPr>
          <w:sz w:val="24"/>
          <w:szCs w:val="24"/>
          <w:u w:val="single"/>
          <w:lang w:val="fr-FR"/>
        </w:rPr>
        <w:t>– Article 20 – Action en cessation « discrimination »</w:t>
      </w:r>
    </w:p>
    <w:p w14:paraId="3CDD730F" w14:textId="6AC2E6A8" w:rsidR="00392DC4" w:rsidRPr="00F87BEC" w:rsidRDefault="00392DC4" w:rsidP="00F87BEC">
      <w:pPr>
        <w:spacing w:before="100" w:beforeAutospacing="1" w:after="100" w:afterAutospacing="1" w:line="240" w:lineRule="auto"/>
        <w:contextualSpacing/>
        <w:rPr>
          <w:sz w:val="24"/>
          <w:szCs w:val="24"/>
          <w:u w:val="single"/>
          <w:lang w:val="fr-FR"/>
        </w:rPr>
      </w:pPr>
    </w:p>
    <w:p w14:paraId="7A27D3A4" w14:textId="30D26E59" w:rsidR="0053615D" w:rsidRPr="005A3063" w:rsidRDefault="0053615D" w:rsidP="00F87BEC">
      <w:pPr>
        <w:spacing w:before="100" w:beforeAutospacing="1" w:after="100" w:afterAutospacing="1" w:line="240" w:lineRule="auto"/>
        <w:contextualSpacing/>
        <w:rPr>
          <w:sz w:val="24"/>
          <w:szCs w:val="24"/>
          <w:u w:val="single"/>
          <w:lang w:val="fr-FR"/>
        </w:rPr>
      </w:pPr>
      <w:r w:rsidRPr="005A3063">
        <w:rPr>
          <w:sz w:val="24"/>
          <w:szCs w:val="24"/>
          <w:u w:val="single"/>
          <w:lang w:val="fr-FR"/>
        </w:rPr>
        <w:t xml:space="preserve">Loi du 4 août 1996 – Article 32 decies § 2 et </w:t>
      </w:r>
      <w:r w:rsidR="003F0859">
        <w:rPr>
          <w:sz w:val="24"/>
          <w:szCs w:val="24"/>
          <w:u w:val="single"/>
          <w:lang w:val="fr-FR"/>
        </w:rPr>
        <w:t xml:space="preserve">§ </w:t>
      </w:r>
      <w:r w:rsidRPr="005A3063">
        <w:rPr>
          <w:sz w:val="24"/>
          <w:szCs w:val="24"/>
          <w:u w:val="single"/>
          <w:lang w:val="fr-FR"/>
        </w:rPr>
        <w:t>3 – Action en cessation « harcèlement moral »</w:t>
      </w:r>
    </w:p>
    <w:p w14:paraId="41241B9A" w14:textId="77777777" w:rsidR="0053615D" w:rsidRPr="005A3063" w:rsidRDefault="0053615D" w:rsidP="00D368C9">
      <w:pPr>
        <w:spacing w:before="100" w:beforeAutospacing="1" w:after="100" w:afterAutospacing="1" w:line="240" w:lineRule="auto"/>
        <w:contextualSpacing/>
        <w:jc w:val="both"/>
        <w:rPr>
          <w:sz w:val="24"/>
          <w:szCs w:val="24"/>
          <w:lang w:val="fr-FR"/>
        </w:rPr>
      </w:pPr>
    </w:p>
    <w:p w14:paraId="2C5991A0" w14:textId="1539643B" w:rsidR="0069088C" w:rsidRPr="005A3063" w:rsidRDefault="0069088C" w:rsidP="00D368C9">
      <w:pPr>
        <w:spacing w:before="100" w:beforeAutospacing="1" w:after="100" w:afterAutospacing="1" w:line="240" w:lineRule="auto"/>
        <w:contextualSpacing/>
        <w:jc w:val="both"/>
        <w:rPr>
          <w:rFonts w:cstheme="minorHAnsi"/>
          <w:lang w:val="fr-FR"/>
        </w:rPr>
      </w:pPr>
      <w:r w:rsidRPr="005A3063">
        <w:rPr>
          <w:rFonts w:cstheme="minorHAnsi"/>
          <w:lang w:val="fr-FR"/>
        </w:rPr>
        <w:t>L’a</w:t>
      </w:r>
      <w:r w:rsidR="00D24C42" w:rsidRPr="005A3063">
        <w:rPr>
          <w:rFonts w:cstheme="minorHAnsi"/>
          <w:lang w:val="fr-FR"/>
        </w:rPr>
        <w:t>n deux mille vingt</w:t>
      </w:r>
      <w:r w:rsidR="008F71B9" w:rsidRPr="005A3063">
        <w:rPr>
          <w:rFonts w:cstheme="minorHAnsi"/>
          <w:lang w:val="fr-FR"/>
        </w:rPr>
        <w:t>-</w:t>
      </w:r>
      <w:r w:rsidR="00DD2D72" w:rsidRPr="005A3063">
        <w:rPr>
          <w:rFonts w:cstheme="minorHAnsi"/>
          <w:lang w:val="fr-FR"/>
        </w:rPr>
        <w:t>trois</w:t>
      </w:r>
      <w:r w:rsidR="008A1843" w:rsidRPr="005A3063">
        <w:rPr>
          <w:rFonts w:cstheme="minorHAnsi"/>
          <w:lang w:val="fr-FR"/>
        </w:rPr>
        <w:t xml:space="preserve">, le </w:t>
      </w:r>
      <w:r w:rsidR="00DD2D72" w:rsidRPr="005A3063">
        <w:rPr>
          <w:rFonts w:cstheme="minorHAnsi"/>
          <w:lang w:val="fr-FR"/>
        </w:rPr>
        <w:t>vingt-</w:t>
      </w:r>
      <w:r w:rsidR="008F71B9" w:rsidRPr="005A3063">
        <w:rPr>
          <w:rFonts w:cstheme="minorHAnsi"/>
          <w:lang w:val="fr-FR"/>
        </w:rPr>
        <w:t xml:space="preserve">quatre </w:t>
      </w:r>
      <w:r w:rsidR="00DD2D72" w:rsidRPr="005A3063">
        <w:rPr>
          <w:rFonts w:cstheme="minorHAnsi"/>
          <w:lang w:val="fr-FR"/>
        </w:rPr>
        <w:t>octobre</w:t>
      </w:r>
      <w:r w:rsidRPr="005A3063">
        <w:rPr>
          <w:rFonts w:cstheme="minorHAnsi"/>
          <w:lang w:val="fr-FR"/>
        </w:rPr>
        <w:t xml:space="preserve">, devant Nous, D. MARECHAL, Président du Tribunal du Travail de Liège, assisté de </w:t>
      </w:r>
      <w:r w:rsidR="003F0859">
        <w:rPr>
          <w:rFonts w:cstheme="minorHAnsi"/>
          <w:lang w:val="fr-FR"/>
        </w:rPr>
        <w:t>N. JONET</w:t>
      </w:r>
      <w:r w:rsidRPr="005A3063">
        <w:rPr>
          <w:rFonts w:cstheme="minorHAnsi"/>
          <w:lang w:val="fr-FR"/>
        </w:rPr>
        <w:t xml:space="preserve">, Greffier, </w:t>
      </w:r>
    </w:p>
    <w:p w14:paraId="2C5991A1" w14:textId="77777777" w:rsidR="0069088C" w:rsidRPr="006E3CAB" w:rsidRDefault="0069088C" w:rsidP="00D368C9">
      <w:pPr>
        <w:spacing w:before="100" w:beforeAutospacing="1" w:after="100" w:afterAutospacing="1" w:line="240" w:lineRule="auto"/>
        <w:contextualSpacing/>
        <w:jc w:val="both"/>
        <w:rPr>
          <w:rFonts w:cstheme="minorHAnsi"/>
          <w:lang w:val="fr-FR"/>
        </w:rPr>
      </w:pPr>
    </w:p>
    <w:p w14:paraId="2C5991A2" w14:textId="77777777" w:rsidR="001A1186" w:rsidRDefault="008F71B9" w:rsidP="00D368C9">
      <w:pPr>
        <w:spacing w:before="100" w:beforeAutospacing="1" w:after="100" w:afterAutospacing="1" w:line="240" w:lineRule="auto"/>
        <w:contextualSpacing/>
        <w:jc w:val="both"/>
        <w:rPr>
          <w:rFonts w:cstheme="minorHAnsi"/>
          <w:b/>
          <w:u w:val="single"/>
          <w:lang w:val="fr-FR"/>
        </w:rPr>
      </w:pPr>
      <w:r w:rsidRPr="006E3CAB">
        <w:rPr>
          <w:rFonts w:cstheme="minorHAnsi"/>
          <w:b/>
          <w:u w:val="single"/>
          <w:lang w:val="fr-FR"/>
        </w:rPr>
        <w:t>RG 22/1038/A</w:t>
      </w:r>
    </w:p>
    <w:p w14:paraId="71BB2782" w14:textId="77777777" w:rsidR="00D368C9" w:rsidRPr="006E3CAB" w:rsidRDefault="00D368C9" w:rsidP="00D368C9">
      <w:pPr>
        <w:spacing w:before="100" w:beforeAutospacing="1" w:after="100" w:afterAutospacing="1" w:line="240" w:lineRule="auto"/>
        <w:contextualSpacing/>
        <w:jc w:val="both"/>
        <w:rPr>
          <w:rFonts w:cstheme="minorHAnsi"/>
          <w:b/>
          <w:u w:val="single"/>
          <w:lang w:val="fr-FR"/>
        </w:rPr>
      </w:pPr>
    </w:p>
    <w:p w14:paraId="2C5991A3" w14:textId="77777777" w:rsidR="001A1186" w:rsidRDefault="001A1186" w:rsidP="00D368C9">
      <w:pPr>
        <w:spacing w:before="100" w:beforeAutospacing="1" w:after="100" w:afterAutospacing="1" w:line="240" w:lineRule="auto"/>
        <w:contextualSpacing/>
        <w:jc w:val="both"/>
        <w:rPr>
          <w:rFonts w:cstheme="minorHAnsi"/>
          <w:lang w:val="fr-FR"/>
        </w:rPr>
      </w:pPr>
      <w:r w:rsidRPr="006E3CAB">
        <w:rPr>
          <w:rFonts w:cstheme="minorHAnsi"/>
          <w:u w:val="single"/>
          <w:lang w:val="fr-FR"/>
        </w:rPr>
        <w:t>En cause</w:t>
      </w:r>
      <w:r w:rsidRPr="006E3CAB">
        <w:rPr>
          <w:rFonts w:cstheme="minorHAnsi"/>
          <w:lang w:val="fr-FR"/>
        </w:rPr>
        <w:t xml:space="preserve"> : </w:t>
      </w:r>
    </w:p>
    <w:p w14:paraId="67683BA5" w14:textId="77777777" w:rsidR="00D368C9" w:rsidRPr="006E3CAB" w:rsidRDefault="00D368C9" w:rsidP="00D368C9">
      <w:pPr>
        <w:spacing w:before="100" w:beforeAutospacing="1" w:after="100" w:afterAutospacing="1" w:line="240" w:lineRule="auto"/>
        <w:contextualSpacing/>
        <w:jc w:val="both"/>
        <w:rPr>
          <w:rFonts w:cstheme="minorHAnsi"/>
          <w:lang w:val="fr-FR"/>
        </w:rPr>
      </w:pPr>
    </w:p>
    <w:p w14:paraId="2C5991A4" w14:textId="77777777" w:rsidR="00DD7E26" w:rsidRDefault="00DD7E26" w:rsidP="00D368C9">
      <w:pPr>
        <w:spacing w:before="100" w:beforeAutospacing="1" w:after="100" w:afterAutospacing="1" w:line="240" w:lineRule="auto"/>
        <w:contextualSpacing/>
        <w:jc w:val="both"/>
        <w:rPr>
          <w:rFonts w:cstheme="minorHAnsi"/>
          <w:lang w:val="fr-FR"/>
        </w:rPr>
      </w:pPr>
      <w:r w:rsidRPr="006E3CAB">
        <w:rPr>
          <w:rFonts w:cstheme="minorHAnsi"/>
          <w:b/>
          <w:u w:val="single"/>
          <w:lang w:val="fr-FR"/>
        </w:rPr>
        <w:t xml:space="preserve">Partie requérante  </w:t>
      </w:r>
      <w:r w:rsidR="00E861A2" w:rsidRPr="006E3CAB">
        <w:rPr>
          <w:rFonts w:cstheme="minorHAnsi"/>
          <w:b/>
          <w:u w:val="single"/>
          <w:lang w:val="fr-FR"/>
        </w:rPr>
        <w:t>(</w:t>
      </w:r>
      <w:r w:rsidR="003E6724" w:rsidRPr="006E3CAB">
        <w:rPr>
          <w:rFonts w:cstheme="minorHAnsi"/>
          <w:b/>
          <w:u w:val="single"/>
          <w:lang w:val="fr-FR"/>
        </w:rPr>
        <w:t>le</w:t>
      </w:r>
      <w:r w:rsidRPr="006E3CAB">
        <w:rPr>
          <w:rFonts w:cstheme="minorHAnsi"/>
          <w:b/>
          <w:u w:val="single"/>
          <w:lang w:val="fr-FR"/>
        </w:rPr>
        <w:t xml:space="preserve"> travailleur)</w:t>
      </w:r>
      <w:r w:rsidRPr="006E3CAB">
        <w:rPr>
          <w:rFonts w:cstheme="minorHAnsi"/>
          <w:b/>
          <w:lang w:val="fr-FR"/>
        </w:rPr>
        <w:t> </w:t>
      </w:r>
      <w:r w:rsidRPr="006E3CAB">
        <w:rPr>
          <w:rFonts w:cstheme="minorHAnsi"/>
          <w:lang w:val="fr-FR"/>
        </w:rPr>
        <w:t xml:space="preserve">: </w:t>
      </w:r>
    </w:p>
    <w:p w14:paraId="3A2FE8F8" w14:textId="77777777" w:rsidR="00D368C9" w:rsidRPr="006E3CAB" w:rsidRDefault="00D368C9" w:rsidP="00D368C9">
      <w:pPr>
        <w:spacing w:before="100" w:beforeAutospacing="1" w:after="100" w:afterAutospacing="1" w:line="240" w:lineRule="auto"/>
        <w:contextualSpacing/>
        <w:jc w:val="both"/>
        <w:rPr>
          <w:rFonts w:cstheme="minorHAnsi"/>
          <w:lang w:val="fr-FR"/>
        </w:rPr>
      </w:pPr>
    </w:p>
    <w:p w14:paraId="2C5991A5" w14:textId="58B217BF" w:rsidR="00DD7E26" w:rsidRDefault="0069088C" w:rsidP="00D368C9">
      <w:pPr>
        <w:spacing w:before="100" w:beforeAutospacing="1" w:after="100" w:afterAutospacing="1" w:line="240" w:lineRule="auto"/>
        <w:contextualSpacing/>
        <w:jc w:val="both"/>
        <w:rPr>
          <w:rFonts w:cstheme="minorHAnsi"/>
          <w:lang w:val="fr-FR"/>
        </w:rPr>
      </w:pPr>
      <w:r w:rsidRPr="006E3CAB">
        <w:rPr>
          <w:rFonts w:cstheme="minorHAnsi"/>
          <w:b/>
          <w:lang w:val="fr-FR"/>
        </w:rPr>
        <w:t>M</w:t>
      </w:r>
      <w:r w:rsidR="008F71B9" w:rsidRPr="006E3CAB">
        <w:rPr>
          <w:rFonts w:cstheme="minorHAnsi"/>
          <w:b/>
          <w:lang w:val="fr-FR"/>
        </w:rPr>
        <w:t xml:space="preserve">onsieur </w:t>
      </w:r>
      <w:r w:rsidR="00AC7907">
        <w:rPr>
          <w:rFonts w:cstheme="minorHAnsi"/>
          <w:b/>
          <w:lang w:val="fr-FR"/>
        </w:rPr>
        <w:t>P</w:t>
      </w:r>
      <w:r w:rsidR="00DD7E26" w:rsidRPr="006E3CAB">
        <w:rPr>
          <w:rFonts w:cstheme="minorHAnsi"/>
          <w:b/>
          <w:lang w:val="fr-FR"/>
        </w:rPr>
        <w:t xml:space="preserve"> </w:t>
      </w:r>
      <w:r w:rsidRPr="006E3CAB">
        <w:rPr>
          <w:rFonts w:cstheme="minorHAnsi"/>
          <w:b/>
          <w:lang w:val="fr-FR"/>
        </w:rPr>
        <w:t xml:space="preserve">, </w:t>
      </w:r>
      <w:r w:rsidR="00B42B90" w:rsidRPr="006E3CAB">
        <w:rPr>
          <w:rFonts w:cstheme="minorHAnsi"/>
          <w:lang w:val="fr-FR"/>
        </w:rPr>
        <w:t xml:space="preserve">né le </w:t>
      </w:r>
      <w:r w:rsidR="00AC7907">
        <w:rPr>
          <w:rFonts w:cstheme="minorHAnsi"/>
          <w:lang w:val="fr-FR"/>
        </w:rPr>
        <w:t>…</w:t>
      </w:r>
      <w:r w:rsidR="00B42B90" w:rsidRPr="006E3CAB">
        <w:rPr>
          <w:rFonts w:cstheme="minorHAnsi"/>
          <w:lang w:val="fr-FR"/>
        </w:rPr>
        <w:t xml:space="preserve"> 1967</w:t>
      </w:r>
      <w:r w:rsidR="00DD7E26" w:rsidRPr="006E3CAB">
        <w:rPr>
          <w:rFonts w:cstheme="minorHAnsi"/>
          <w:lang w:val="fr-FR"/>
        </w:rPr>
        <w:t>,</w:t>
      </w:r>
      <w:r w:rsidR="00DD7E26" w:rsidRPr="006E3CAB">
        <w:rPr>
          <w:rFonts w:cstheme="minorHAnsi"/>
          <w:b/>
          <w:lang w:val="fr-FR"/>
        </w:rPr>
        <w:t xml:space="preserve"> </w:t>
      </w:r>
      <w:r w:rsidR="00B42B90" w:rsidRPr="006E3CAB">
        <w:rPr>
          <w:rFonts w:cstheme="minorHAnsi"/>
          <w:b/>
          <w:lang w:val="fr-FR"/>
        </w:rPr>
        <w:t xml:space="preserve">dont le numéro national est le </w:t>
      </w:r>
      <w:r w:rsidR="00AC7907">
        <w:rPr>
          <w:rFonts w:cstheme="minorHAnsi"/>
          <w:b/>
          <w:lang w:val="fr-FR"/>
        </w:rPr>
        <w:t>…..</w:t>
      </w:r>
      <w:r w:rsidR="00B42B90" w:rsidRPr="006E3CAB">
        <w:rPr>
          <w:rFonts w:cstheme="minorHAnsi"/>
          <w:b/>
          <w:lang w:val="fr-FR"/>
        </w:rPr>
        <w:t xml:space="preserve">, </w:t>
      </w:r>
      <w:r w:rsidR="00DD7E26" w:rsidRPr="006E3CAB">
        <w:rPr>
          <w:rFonts w:cstheme="minorHAnsi"/>
          <w:lang w:val="fr-FR"/>
        </w:rPr>
        <w:t xml:space="preserve">domicilié </w:t>
      </w:r>
      <w:r w:rsidRPr="006E3CAB">
        <w:rPr>
          <w:rFonts w:cstheme="minorHAnsi"/>
          <w:lang w:val="fr-FR"/>
        </w:rPr>
        <w:t>à</w:t>
      </w:r>
      <w:r w:rsidR="00B42B90" w:rsidRPr="006E3CAB">
        <w:rPr>
          <w:rFonts w:cstheme="minorHAnsi"/>
          <w:lang w:val="fr-FR"/>
        </w:rPr>
        <w:t xml:space="preserve"> </w:t>
      </w:r>
      <w:r w:rsidR="00AC7907">
        <w:rPr>
          <w:rFonts w:cstheme="minorHAnsi"/>
          <w:lang w:val="fr-FR"/>
        </w:rPr>
        <w:t>……….</w:t>
      </w:r>
      <w:r w:rsidR="00C957F2">
        <w:rPr>
          <w:rFonts w:cstheme="minorHAnsi"/>
          <w:lang w:val="fr-FR"/>
        </w:rPr>
        <w:t>.</w:t>
      </w:r>
    </w:p>
    <w:p w14:paraId="11145E38" w14:textId="77777777" w:rsidR="00D368C9" w:rsidRPr="006E3CAB" w:rsidRDefault="00D368C9" w:rsidP="00D368C9">
      <w:pPr>
        <w:spacing w:before="100" w:beforeAutospacing="1" w:after="100" w:afterAutospacing="1" w:line="240" w:lineRule="auto"/>
        <w:contextualSpacing/>
        <w:jc w:val="both"/>
        <w:rPr>
          <w:rFonts w:cstheme="minorHAnsi"/>
          <w:b/>
          <w:lang w:val="fr-FR"/>
        </w:rPr>
      </w:pPr>
    </w:p>
    <w:p w14:paraId="2C5991A6" w14:textId="7D76B14D" w:rsidR="00924FA4" w:rsidRPr="006E3CAB" w:rsidRDefault="00924FA4" w:rsidP="00D368C9">
      <w:pPr>
        <w:spacing w:before="100" w:beforeAutospacing="1" w:after="100" w:afterAutospacing="1" w:line="240" w:lineRule="auto"/>
        <w:contextualSpacing/>
        <w:jc w:val="both"/>
        <w:rPr>
          <w:rFonts w:cstheme="minorHAnsi"/>
          <w:lang w:val="fr-FR"/>
        </w:rPr>
      </w:pPr>
      <w:r w:rsidRPr="006E3CAB">
        <w:rPr>
          <w:rFonts w:cstheme="minorHAnsi"/>
          <w:lang w:val="fr-FR"/>
        </w:rPr>
        <w:t>Ayant pour conseil M</w:t>
      </w:r>
      <w:r w:rsidR="00C47650">
        <w:rPr>
          <w:rFonts w:cstheme="minorHAnsi"/>
          <w:lang w:val="fr-FR"/>
        </w:rPr>
        <w:t>aître</w:t>
      </w:r>
      <w:r w:rsidRPr="006E3CAB">
        <w:rPr>
          <w:rFonts w:cstheme="minorHAnsi"/>
          <w:lang w:val="fr-FR"/>
        </w:rPr>
        <w:t xml:space="preserve"> </w:t>
      </w:r>
      <w:r w:rsidR="008F71B9" w:rsidRPr="006E3CAB">
        <w:rPr>
          <w:rFonts w:cstheme="minorHAnsi"/>
          <w:lang w:val="fr-FR"/>
        </w:rPr>
        <w:t>Steve GILSON, avocat</w:t>
      </w:r>
      <w:r w:rsidR="005D7F9A">
        <w:rPr>
          <w:rFonts w:cstheme="minorHAnsi"/>
          <w:lang w:val="fr-FR"/>
        </w:rPr>
        <w:t xml:space="preserve"> à </w:t>
      </w:r>
      <w:r w:rsidR="00C47650">
        <w:rPr>
          <w:rFonts w:cstheme="minorHAnsi"/>
          <w:lang w:val="fr-FR"/>
        </w:rPr>
        <w:t>5000 NAMUR, place d’</w:t>
      </w:r>
      <w:proofErr w:type="spellStart"/>
      <w:r w:rsidR="00C47650">
        <w:rPr>
          <w:rFonts w:cstheme="minorHAnsi"/>
          <w:lang w:val="fr-FR"/>
        </w:rPr>
        <w:t>Hastedon</w:t>
      </w:r>
      <w:proofErr w:type="spellEnd"/>
      <w:r w:rsidR="00C47650">
        <w:rPr>
          <w:rFonts w:cstheme="minorHAnsi"/>
          <w:lang w:val="fr-FR"/>
        </w:rPr>
        <w:t>, 4/1</w:t>
      </w:r>
      <w:r w:rsidRPr="006E3CAB">
        <w:rPr>
          <w:rFonts w:cstheme="minorHAnsi"/>
          <w:lang w:val="fr-FR"/>
        </w:rPr>
        <w:t>, et ayant comparu par M</w:t>
      </w:r>
      <w:r w:rsidR="00747428">
        <w:rPr>
          <w:rFonts w:cstheme="minorHAnsi"/>
          <w:lang w:val="fr-FR"/>
        </w:rPr>
        <w:t>aîtr</w:t>
      </w:r>
      <w:r w:rsidRPr="006E3CAB">
        <w:rPr>
          <w:rFonts w:cstheme="minorHAnsi"/>
          <w:lang w:val="fr-FR"/>
        </w:rPr>
        <w:t xml:space="preserve">e </w:t>
      </w:r>
      <w:r w:rsidR="00896C2E" w:rsidRPr="006E3CAB">
        <w:rPr>
          <w:rFonts w:cstheme="minorHAnsi"/>
          <w:lang w:val="fr-FR"/>
        </w:rPr>
        <w:t>France LAMBINET</w:t>
      </w:r>
      <w:r w:rsidRPr="006E3CAB">
        <w:rPr>
          <w:rFonts w:cstheme="minorHAnsi"/>
          <w:lang w:val="fr-FR"/>
        </w:rPr>
        <w:t>, avocat</w:t>
      </w:r>
      <w:r w:rsidR="008F71B9" w:rsidRPr="006E3CAB">
        <w:rPr>
          <w:rFonts w:cstheme="minorHAnsi"/>
          <w:lang w:val="fr-FR"/>
        </w:rPr>
        <w:t>e</w:t>
      </w:r>
      <w:r w:rsidR="004B4910">
        <w:rPr>
          <w:rFonts w:cstheme="minorHAnsi"/>
          <w:lang w:val="fr-FR"/>
        </w:rPr>
        <w:t xml:space="preserve"> se substituant à son confrère précité.</w:t>
      </w:r>
    </w:p>
    <w:p w14:paraId="2C5991A7" w14:textId="77777777" w:rsidR="006A3496" w:rsidRPr="006E3CAB" w:rsidRDefault="006A3496" w:rsidP="00D368C9">
      <w:pPr>
        <w:spacing w:before="100" w:beforeAutospacing="1" w:after="100" w:afterAutospacing="1" w:line="240" w:lineRule="auto"/>
        <w:contextualSpacing/>
        <w:jc w:val="both"/>
        <w:rPr>
          <w:rFonts w:cstheme="minorHAnsi"/>
          <w:lang w:val="fr-FR"/>
        </w:rPr>
      </w:pPr>
    </w:p>
    <w:p w14:paraId="2C5991A8" w14:textId="6A62CAAC" w:rsidR="001A1186" w:rsidRDefault="00BC64E5" w:rsidP="00D368C9">
      <w:pPr>
        <w:spacing w:before="100" w:beforeAutospacing="1" w:after="100" w:afterAutospacing="1" w:line="240" w:lineRule="auto"/>
        <w:contextualSpacing/>
        <w:jc w:val="both"/>
        <w:rPr>
          <w:rFonts w:cstheme="minorHAnsi"/>
          <w:b/>
          <w:lang w:val="fr-FR"/>
        </w:rPr>
      </w:pPr>
      <w:r w:rsidRPr="006E3CAB">
        <w:rPr>
          <w:rFonts w:cstheme="minorHAnsi"/>
          <w:b/>
          <w:u w:val="single"/>
          <w:lang w:val="fr-FR"/>
        </w:rPr>
        <w:t>Partie défenderesse</w:t>
      </w:r>
      <w:r w:rsidR="003E6724" w:rsidRPr="006E3CAB">
        <w:rPr>
          <w:rFonts w:cstheme="minorHAnsi"/>
          <w:b/>
          <w:u w:val="single"/>
          <w:lang w:val="fr-FR"/>
        </w:rPr>
        <w:t xml:space="preserve"> (l’employeur</w:t>
      </w:r>
      <w:r w:rsidR="00E861A2" w:rsidRPr="006E3CAB">
        <w:rPr>
          <w:rFonts w:cstheme="minorHAnsi"/>
          <w:b/>
          <w:u w:val="single"/>
          <w:lang w:val="fr-FR"/>
        </w:rPr>
        <w:t>)</w:t>
      </w:r>
      <w:r w:rsidR="00DD7E26" w:rsidRPr="006E3CAB">
        <w:rPr>
          <w:rFonts w:cstheme="minorHAnsi"/>
          <w:lang w:val="fr-FR"/>
        </w:rPr>
        <w:t> </w:t>
      </w:r>
      <w:r w:rsidR="001A1186" w:rsidRPr="006E3CAB">
        <w:rPr>
          <w:rFonts w:cstheme="minorHAnsi"/>
          <w:b/>
          <w:lang w:val="fr-FR"/>
        </w:rPr>
        <w:t xml:space="preserve">: </w:t>
      </w:r>
    </w:p>
    <w:p w14:paraId="0CDE5694" w14:textId="77777777" w:rsidR="00D368C9" w:rsidRPr="006E3CAB" w:rsidRDefault="00D368C9" w:rsidP="00D368C9">
      <w:pPr>
        <w:spacing w:before="100" w:beforeAutospacing="1" w:after="100" w:afterAutospacing="1" w:line="240" w:lineRule="auto"/>
        <w:contextualSpacing/>
        <w:jc w:val="both"/>
        <w:rPr>
          <w:rFonts w:cstheme="minorHAnsi"/>
          <w:b/>
          <w:lang w:val="fr-FR"/>
        </w:rPr>
      </w:pPr>
    </w:p>
    <w:p w14:paraId="2C5991A9" w14:textId="50166670" w:rsidR="003E6724" w:rsidRPr="00C957F2" w:rsidRDefault="00052B98" w:rsidP="00D368C9">
      <w:pPr>
        <w:spacing w:before="100" w:beforeAutospacing="1" w:after="100" w:afterAutospacing="1" w:line="240" w:lineRule="auto"/>
        <w:contextualSpacing/>
        <w:jc w:val="both"/>
        <w:rPr>
          <w:rFonts w:cstheme="minorHAnsi"/>
          <w:bCs/>
          <w:lang w:val="fr-FR"/>
        </w:rPr>
      </w:pPr>
      <w:r w:rsidRPr="006E3CAB">
        <w:rPr>
          <w:rFonts w:cstheme="minorHAnsi"/>
          <w:b/>
          <w:lang w:val="fr-FR"/>
        </w:rPr>
        <w:t>L</w:t>
      </w:r>
      <w:r w:rsidR="008F71B9" w:rsidRPr="006E3CAB">
        <w:rPr>
          <w:rFonts w:cstheme="minorHAnsi"/>
          <w:b/>
          <w:lang w:val="fr-FR"/>
        </w:rPr>
        <w:t>a société anonyme de droit public OP</w:t>
      </w:r>
      <w:r w:rsidR="00B42B90" w:rsidRPr="006E3CAB">
        <w:rPr>
          <w:rFonts w:cstheme="minorHAnsi"/>
          <w:b/>
          <w:lang w:val="fr-FR"/>
        </w:rPr>
        <w:t>ERATEUR DE TRANSPORT DE WALLONIE (en abrégé OTW</w:t>
      </w:r>
      <w:r w:rsidR="00B42B90" w:rsidRPr="00C957F2">
        <w:rPr>
          <w:rFonts w:cstheme="minorHAnsi"/>
          <w:bCs/>
          <w:lang w:val="fr-FR"/>
        </w:rPr>
        <w:t>), inscrit</w:t>
      </w:r>
      <w:r w:rsidR="00C957F2" w:rsidRPr="00C957F2">
        <w:rPr>
          <w:rFonts w:cstheme="minorHAnsi"/>
          <w:bCs/>
          <w:lang w:val="fr-FR"/>
        </w:rPr>
        <w:t>e</w:t>
      </w:r>
      <w:r w:rsidR="00B42B90" w:rsidRPr="00C957F2">
        <w:rPr>
          <w:rFonts w:cstheme="minorHAnsi"/>
          <w:bCs/>
          <w:lang w:val="fr-FR"/>
        </w:rPr>
        <w:t xml:space="preserve"> à la BCE sous le numéro 0242.069.339, dont le siège social est sis </w:t>
      </w:r>
      <w:r w:rsidR="001974A4">
        <w:rPr>
          <w:rFonts w:cstheme="minorHAnsi"/>
          <w:bCs/>
          <w:lang w:val="fr-FR"/>
        </w:rPr>
        <w:t>a</w:t>
      </w:r>
      <w:r w:rsidR="00B42B90" w:rsidRPr="00C957F2">
        <w:rPr>
          <w:rFonts w:cstheme="minorHAnsi"/>
          <w:bCs/>
          <w:lang w:val="fr-FR"/>
        </w:rPr>
        <w:t xml:space="preserve">venue Gouverneur </w:t>
      </w:r>
      <w:proofErr w:type="spellStart"/>
      <w:r w:rsidR="00B42B90" w:rsidRPr="00C957F2">
        <w:rPr>
          <w:rFonts w:cstheme="minorHAnsi"/>
          <w:bCs/>
          <w:lang w:val="fr-FR"/>
        </w:rPr>
        <w:t>Bovesse</w:t>
      </w:r>
      <w:proofErr w:type="spellEnd"/>
      <w:r w:rsidR="00B42B90" w:rsidRPr="00C957F2">
        <w:rPr>
          <w:rFonts w:cstheme="minorHAnsi"/>
          <w:bCs/>
          <w:lang w:val="fr-FR"/>
        </w:rPr>
        <w:t xml:space="preserve"> 96 à 5100 NAMUR</w:t>
      </w:r>
      <w:r w:rsidR="00C957F2">
        <w:rPr>
          <w:rFonts w:cstheme="minorHAnsi"/>
          <w:bCs/>
          <w:lang w:val="fr-FR"/>
        </w:rPr>
        <w:t>.</w:t>
      </w:r>
    </w:p>
    <w:p w14:paraId="2B102B85" w14:textId="77777777" w:rsidR="00D368C9" w:rsidRPr="006E3CAB" w:rsidRDefault="00D368C9" w:rsidP="00D368C9">
      <w:pPr>
        <w:spacing w:before="100" w:beforeAutospacing="1" w:after="100" w:afterAutospacing="1" w:line="240" w:lineRule="auto"/>
        <w:contextualSpacing/>
        <w:jc w:val="both"/>
        <w:rPr>
          <w:rFonts w:cstheme="minorHAnsi"/>
          <w:lang w:val="fr-FR"/>
        </w:rPr>
      </w:pPr>
    </w:p>
    <w:p w14:paraId="2C5991AA" w14:textId="7301F464" w:rsidR="003E6724" w:rsidRPr="006E3CAB" w:rsidRDefault="003E6724" w:rsidP="00D368C9">
      <w:pPr>
        <w:spacing w:before="100" w:beforeAutospacing="1" w:after="100" w:afterAutospacing="1" w:line="240" w:lineRule="auto"/>
        <w:contextualSpacing/>
        <w:jc w:val="both"/>
        <w:rPr>
          <w:rFonts w:cstheme="minorHAnsi"/>
          <w:lang w:val="fr-FR"/>
        </w:rPr>
      </w:pPr>
      <w:r w:rsidRPr="00222160">
        <w:rPr>
          <w:rFonts w:cstheme="minorHAnsi"/>
          <w:lang w:val="fr-FR"/>
        </w:rPr>
        <w:t xml:space="preserve">Ayant </w:t>
      </w:r>
      <w:r w:rsidR="008F71B9" w:rsidRPr="00222160">
        <w:rPr>
          <w:rFonts w:cstheme="minorHAnsi"/>
          <w:lang w:val="fr-FR"/>
        </w:rPr>
        <w:t xml:space="preserve">pour conseil </w:t>
      </w:r>
      <w:r w:rsidR="00F6348C" w:rsidRPr="00222160">
        <w:rPr>
          <w:rFonts w:cstheme="minorHAnsi"/>
          <w:lang w:val="fr-FR"/>
        </w:rPr>
        <w:t>M</w:t>
      </w:r>
      <w:r w:rsidR="001974A4">
        <w:rPr>
          <w:rFonts w:cstheme="minorHAnsi"/>
          <w:lang w:val="fr-FR"/>
        </w:rPr>
        <w:t>aître</w:t>
      </w:r>
      <w:r w:rsidR="00F6348C" w:rsidRPr="00222160">
        <w:rPr>
          <w:rFonts w:cstheme="minorHAnsi"/>
          <w:lang w:val="fr-FR"/>
        </w:rPr>
        <w:t xml:space="preserve"> </w:t>
      </w:r>
      <w:r w:rsidR="008F71B9" w:rsidRPr="00222160">
        <w:rPr>
          <w:rFonts w:cstheme="minorHAnsi"/>
          <w:lang w:val="fr-FR"/>
        </w:rPr>
        <w:t>Pierre PICHAULT, avocat</w:t>
      </w:r>
      <w:r w:rsidR="001974A4">
        <w:rPr>
          <w:rFonts w:cstheme="minorHAnsi"/>
          <w:lang w:val="fr-FR"/>
        </w:rPr>
        <w:t xml:space="preserve"> à 4000 LIEGE, rue </w:t>
      </w:r>
      <w:proofErr w:type="spellStart"/>
      <w:r w:rsidR="001974A4">
        <w:rPr>
          <w:rFonts w:cstheme="minorHAnsi"/>
          <w:lang w:val="fr-FR"/>
        </w:rPr>
        <w:t>Louvrex</w:t>
      </w:r>
      <w:proofErr w:type="spellEnd"/>
      <w:r w:rsidR="001974A4">
        <w:rPr>
          <w:rFonts w:cstheme="minorHAnsi"/>
          <w:lang w:val="fr-FR"/>
        </w:rPr>
        <w:t>, 55-57</w:t>
      </w:r>
      <w:r w:rsidR="004B4910">
        <w:rPr>
          <w:rFonts w:cstheme="minorHAnsi"/>
          <w:lang w:val="fr-FR"/>
        </w:rPr>
        <w:t xml:space="preserve"> et </w:t>
      </w:r>
      <w:r w:rsidR="00F76DBB">
        <w:rPr>
          <w:rFonts w:cstheme="minorHAnsi"/>
          <w:lang w:val="fr-FR"/>
        </w:rPr>
        <w:t>ayant comparu par</w:t>
      </w:r>
      <w:r w:rsidR="00896C2E" w:rsidRPr="00222160">
        <w:rPr>
          <w:rFonts w:cstheme="minorHAnsi"/>
          <w:lang w:val="fr-FR"/>
        </w:rPr>
        <w:t xml:space="preserve"> M</w:t>
      </w:r>
      <w:r w:rsidR="00F76DBB">
        <w:rPr>
          <w:rFonts w:cstheme="minorHAnsi"/>
          <w:lang w:val="fr-FR"/>
        </w:rPr>
        <w:t>aîtr</w:t>
      </w:r>
      <w:r w:rsidR="00896C2E" w:rsidRPr="00222160">
        <w:rPr>
          <w:rFonts w:cstheme="minorHAnsi"/>
          <w:lang w:val="fr-FR"/>
        </w:rPr>
        <w:t xml:space="preserve">e </w:t>
      </w:r>
      <w:r w:rsidR="00407920" w:rsidRPr="00222160">
        <w:rPr>
          <w:rFonts w:cstheme="minorHAnsi"/>
          <w:lang w:val="fr-FR"/>
        </w:rPr>
        <w:t xml:space="preserve">Julien </w:t>
      </w:r>
      <w:r w:rsidR="00896C2E" w:rsidRPr="00222160">
        <w:rPr>
          <w:rFonts w:cstheme="minorHAnsi"/>
          <w:lang w:val="fr-FR"/>
        </w:rPr>
        <w:t>PHILIPPE, avocat</w:t>
      </w:r>
      <w:r w:rsidR="004B4910" w:rsidRPr="004B4910">
        <w:rPr>
          <w:rFonts w:cstheme="minorHAnsi"/>
          <w:lang w:val="fr-FR"/>
        </w:rPr>
        <w:t xml:space="preserve"> </w:t>
      </w:r>
      <w:r w:rsidR="004B4910">
        <w:rPr>
          <w:rFonts w:cstheme="minorHAnsi"/>
          <w:lang w:val="fr-FR"/>
        </w:rPr>
        <w:t>se substituant à son confrère précité.</w:t>
      </w:r>
    </w:p>
    <w:p w14:paraId="18DE77DD" w14:textId="29A90FAF" w:rsidR="00DD2D72" w:rsidRPr="006E3CAB" w:rsidRDefault="00DD2D72" w:rsidP="00D368C9">
      <w:pPr>
        <w:spacing w:before="100" w:beforeAutospacing="1" w:after="100" w:afterAutospacing="1" w:line="240" w:lineRule="auto"/>
        <w:contextualSpacing/>
        <w:jc w:val="both"/>
        <w:rPr>
          <w:rFonts w:cstheme="minorHAnsi"/>
          <w:lang w:val="fr-FR"/>
        </w:rPr>
      </w:pPr>
    </w:p>
    <w:p w14:paraId="7B32AAB6" w14:textId="7E541084" w:rsidR="00DD2D72" w:rsidRDefault="00DD2D72" w:rsidP="00D368C9">
      <w:pPr>
        <w:spacing w:before="100" w:beforeAutospacing="1" w:after="100" w:afterAutospacing="1" w:line="240" w:lineRule="auto"/>
        <w:contextualSpacing/>
        <w:jc w:val="both"/>
        <w:rPr>
          <w:rFonts w:cstheme="minorHAnsi"/>
          <w:b/>
          <w:lang w:val="fr-FR"/>
        </w:rPr>
      </w:pPr>
      <w:r w:rsidRPr="006E3CAB">
        <w:rPr>
          <w:rFonts w:cstheme="minorHAnsi"/>
          <w:b/>
          <w:u w:val="single"/>
          <w:lang w:val="fr-FR"/>
        </w:rPr>
        <w:t>Partie en intervention volontaire</w:t>
      </w:r>
      <w:r w:rsidRPr="006E3CAB">
        <w:rPr>
          <w:rFonts w:cstheme="minorHAnsi"/>
          <w:lang w:val="fr-FR"/>
        </w:rPr>
        <w:t> </w:t>
      </w:r>
      <w:r w:rsidRPr="006E3CAB">
        <w:rPr>
          <w:rFonts w:cstheme="minorHAnsi"/>
          <w:b/>
          <w:lang w:val="fr-FR"/>
        </w:rPr>
        <w:t xml:space="preserve">: </w:t>
      </w:r>
    </w:p>
    <w:p w14:paraId="23A70E8C" w14:textId="77777777" w:rsidR="00D368C9" w:rsidRPr="006E3CAB" w:rsidRDefault="00D368C9" w:rsidP="00D368C9">
      <w:pPr>
        <w:spacing w:before="100" w:beforeAutospacing="1" w:after="100" w:afterAutospacing="1" w:line="240" w:lineRule="auto"/>
        <w:contextualSpacing/>
        <w:jc w:val="both"/>
        <w:rPr>
          <w:rFonts w:cstheme="minorHAnsi"/>
          <w:b/>
          <w:lang w:val="fr-FR"/>
        </w:rPr>
      </w:pPr>
    </w:p>
    <w:p w14:paraId="61CC0B51" w14:textId="6CBAB47F" w:rsidR="00DD2D72" w:rsidRPr="00717A0E" w:rsidRDefault="009E6920" w:rsidP="00D368C9">
      <w:pPr>
        <w:spacing w:before="100" w:beforeAutospacing="1" w:after="100" w:afterAutospacing="1" w:line="240" w:lineRule="auto"/>
        <w:contextualSpacing/>
        <w:jc w:val="both"/>
        <w:rPr>
          <w:rFonts w:cstheme="minorHAnsi"/>
          <w:bCs/>
          <w:lang w:val="fr-FR"/>
        </w:rPr>
      </w:pPr>
      <w:r w:rsidRPr="006E3CAB">
        <w:rPr>
          <w:rFonts w:cstheme="minorHAnsi"/>
          <w:b/>
          <w:lang w:val="fr-FR"/>
        </w:rPr>
        <w:t>L</w:t>
      </w:r>
      <w:r w:rsidR="00DA53E8" w:rsidRPr="006E3CAB">
        <w:rPr>
          <w:rFonts w:cstheme="minorHAnsi"/>
          <w:b/>
          <w:lang w:val="fr-FR"/>
        </w:rPr>
        <w:t>E CENTRE</w:t>
      </w:r>
      <w:r w:rsidRPr="006E3CAB">
        <w:rPr>
          <w:rFonts w:cstheme="minorHAnsi"/>
          <w:b/>
          <w:lang w:val="fr-FR"/>
        </w:rPr>
        <w:t xml:space="preserve"> </w:t>
      </w:r>
      <w:r w:rsidR="00B12A04" w:rsidRPr="006E3CAB">
        <w:rPr>
          <w:rFonts w:cstheme="minorHAnsi"/>
          <w:b/>
          <w:lang w:val="fr-FR"/>
        </w:rPr>
        <w:t>INTERFEDERAL POUR L’EGALITE DES CHANCES ET LA LUTTE CONTRE LE R</w:t>
      </w:r>
      <w:r w:rsidR="0059217A">
        <w:rPr>
          <w:rFonts w:cstheme="minorHAnsi"/>
          <w:b/>
          <w:lang w:val="fr-FR"/>
        </w:rPr>
        <w:t>A</w:t>
      </w:r>
      <w:r w:rsidR="00B12A04" w:rsidRPr="006E3CAB">
        <w:rPr>
          <w:rFonts w:cstheme="minorHAnsi"/>
          <w:b/>
          <w:lang w:val="fr-FR"/>
        </w:rPr>
        <w:t>CISME ET LES DISCRIMINATIONS</w:t>
      </w:r>
      <w:r w:rsidR="00DA53E8" w:rsidRPr="006E3CAB">
        <w:rPr>
          <w:rFonts w:cstheme="minorHAnsi"/>
          <w:b/>
          <w:lang w:val="fr-FR"/>
        </w:rPr>
        <w:t xml:space="preserve">, utilisant la dénomination de fantaisie </w:t>
      </w:r>
      <w:r w:rsidR="00DD2D72" w:rsidRPr="006E3CAB">
        <w:rPr>
          <w:rFonts w:cstheme="minorHAnsi"/>
          <w:b/>
          <w:lang w:val="fr-FR"/>
        </w:rPr>
        <w:t>UNIA</w:t>
      </w:r>
      <w:r w:rsidR="00DD2D72" w:rsidRPr="00717A0E">
        <w:rPr>
          <w:rFonts w:cstheme="minorHAnsi"/>
          <w:bCs/>
          <w:lang w:val="fr-FR"/>
        </w:rPr>
        <w:t>, inscrit à la BCE sous le numéro</w:t>
      </w:r>
      <w:r w:rsidR="006E1986" w:rsidRPr="00717A0E">
        <w:rPr>
          <w:rFonts w:cstheme="minorHAnsi"/>
          <w:bCs/>
          <w:lang w:val="fr-FR"/>
        </w:rPr>
        <w:t xml:space="preserve"> 0548.895.779</w:t>
      </w:r>
      <w:r w:rsidR="00DD2D72" w:rsidRPr="00717A0E">
        <w:rPr>
          <w:rFonts w:cstheme="minorHAnsi"/>
          <w:bCs/>
          <w:lang w:val="fr-FR"/>
        </w:rPr>
        <w:t xml:space="preserve">, dont le siège social est sis </w:t>
      </w:r>
      <w:r w:rsidR="006E1986" w:rsidRPr="00717A0E">
        <w:rPr>
          <w:rFonts w:cstheme="minorHAnsi"/>
          <w:bCs/>
          <w:lang w:val="fr-FR"/>
        </w:rPr>
        <w:t xml:space="preserve"> place Victor Horta, 40, boite 40 à 1060 BRUXELLES ;</w:t>
      </w:r>
    </w:p>
    <w:p w14:paraId="3F501EE2" w14:textId="77777777" w:rsidR="00D368C9" w:rsidRPr="006E3CAB" w:rsidRDefault="00D368C9" w:rsidP="00D368C9">
      <w:pPr>
        <w:spacing w:before="100" w:beforeAutospacing="1" w:after="100" w:afterAutospacing="1" w:line="240" w:lineRule="auto"/>
        <w:contextualSpacing/>
        <w:jc w:val="both"/>
        <w:rPr>
          <w:rFonts w:cstheme="minorHAnsi"/>
          <w:lang w:val="fr-FR"/>
        </w:rPr>
      </w:pPr>
    </w:p>
    <w:p w14:paraId="6BDAFE5C" w14:textId="22B07607" w:rsidR="00DD2D72" w:rsidRPr="006E3CAB" w:rsidRDefault="00DD2D72" w:rsidP="00D368C9">
      <w:pPr>
        <w:spacing w:before="100" w:beforeAutospacing="1" w:after="100" w:afterAutospacing="1" w:line="240" w:lineRule="auto"/>
        <w:contextualSpacing/>
        <w:jc w:val="both"/>
        <w:rPr>
          <w:rFonts w:cstheme="minorHAnsi"/>
          <w:lang w:val="fr-FR"/>
        </w:rPr>
      </w:pPr>
      <w:r w:rsidRPr="006E3CAB">
        <w:rPr>
          <w:rFonts w:cstheme="minorHAnsi"/>
          <w:lang w:val="fr-FR"/>
        </w:rPr>
        <w:t>Ayant pour conseil M</w:t>
      </w:r>
      <w:r w:rsidR="00717A0E">
        <w:rPr>
          <w:rFonts w:cstheme="minorHAnsi"/>
          <w:lang w:val="fr-FR"/>
        </w:rPr>
        <w:t>aître</w:t>
      </w:r>
      <w:r w:rsidRPr="006E3CAB">
        <w:rPr>
          <w:rFonts w:cstheme="minorHAnsi"/>
          <w:lang w:val="fr-FR"/>
        </w:rPr>
        <w:t xml:space="preserve"> Sophie REMOUCHAMPS, avocat</w:t>
      </w:r>
      <w:r w:rsidR="00914C91">
        <w:rPr>
          <w:rFonts w:cstheme="minorHAnsi"/>
          <w:lang w:val="fr-FR"/>
        </w:rPr>
        <w:t xml:space="preserve"> à 1050 IXELLES</w:t>
      </w:r>
      <w:r w:rsidR="001027AF">
        <w:rPr>
          <w:rFonts w:cstheme="minorHAnsi"/>
          <w:lang w:val="fr-FR"/>
        </w:rPr>
        <w:t xml:space="preserve">, rue </w:t>
      </w:r>
      <w:proofErr w:type="spellStart"/>
      <w:r w:rsidR="001027AF">
        <w:rPr>
          <w:rFonts w:cstheme="minorHAnsi"/>
          <w:lang w:val="fr-FR"/>
        </w:rPr>
        <w:t>Lesbroussart</w:t>
      </w:r>
      <w:proofErr w:type="spellEnd"/>
      <w:r w:rsidR="001027AF">
        <w:rPr>
          <w:rFonts w:cstheme="minorHAnsi"/>
          <w:lang w:val="fr-FR"/>
        </w:rPr>
        <w:t>, 89</w:t>
      </w:r>
      <w:r w:rsidRPr="006E3CAB">
        <w:rPr>
          <w:rFonts w:cstheme="minorHAnsi"/>
          <w:lang w:val="fr-FR"/>
        </w:rPr>
        <w:t xml:space="preserve">, </w:t>
      </w:r>
      <w:r w:rsidR="00717A0E">
        <w:rPr>
          <w:rFonts w:cstheme="minorHAnsi"/>
          <w:lang w:val="fr-FR"/>
        </w:rPr>
        <w:t>ayant comparu.</w:t>
      </w:r>
      <w:r w:rsidRPr="006E3CAB">
        <w:rPr>
          <w:rFonts w:cstheme="minorHAnsi"/>
          <w:lang w:val="fr-FR"/>
        </w:rPr>
        <w:t xml:space="preserve"> </w:t>
      </w:r>
    </w:p>
    <w:p w14:paraId="55CB8178" w14:textId="77777777" w:rsidR="00DD2D72" w:rsidRPr="006E3CAB" w:rsidRDefault="00DD2D72" w:rsidP="00D368C9">
      <w:pPr>
        <w:spacing w:before="100" w:beforeAutospacing="1" w:after="100" w:afterAutospacing="1" w:line="240" w:lineRule="auto"/>
        <w:contextualSpacing/>
        <w:jc w:val="both"/>
        <w:rPr>
          <w:rFonts w:cstheme="minorHAnsi"/>
          <w:lang w:val="fr-FR"/>
        </w:rPr>
      </w:pPr>
    </w:p>
    <w:p w14:paraId="2C5991AB" w14:textId="77777777" w:rsidR="004D08B0" w:rsidRPr="006E3CAB" w:rsidRDefault="004D08B0" w:rsidP="00D368C9">
      <w:pPr>
        <w:spacing w:before="100" w:beforeAutospacing="1" w:after="100" w:afterAutospacing="1" w:line="240" w:lineRule="auto"/>
        <w:contextualSpacing/>
        <w:jc w:val="both"/>
        <w:rPr>
          <w:rFonts w:cstheme="minorHAnsi"/>
          <w:lang w:val="fr-FR"/>
        </w:rPr>
      </w:pPr>
    </w:p>
    <w:p w14:paraId="2C5991AC" w14:textId="77777777" w:rsidR="00924FA4" w:rsidRPr="006E3CAB" w:rsidRDefault="00924FA4" w:rsidP="00D368C9">
      <w:pPr>
        <w:spacing w:before="100" w:beforeAutospacing="1" w:after="100" w:afterAutospacing="1" w:line="240" w:lineRule="auto"/>
        <w:contextualSpacing/>
        <w:jc w:val="both"/>
        <w:rPr>
          <w:rFonts w:cstheme="minorHAnsi"/>
          <w:lang w:val="fr-FR"/>
        </w:rPr>
      </w:pPr>
      <w:r w:rsidRPr="006E3CAB">
        <w:rPr>
          <w:rFonts w:cstheme="minorHAnsi"/>
          <w:lang w:val="fr-FR"/>
        </w:rPr>
        <w:tab/>
      </w:r>
      <w:r w:rsidRPr="006E3CAB">
        <w:rPr>
          <w:rFonts w:cstheme="minorHAnsi"/>
          <w:lang w:val="fr-FR"/>
        </w:rPr>
        <w:tab/>
      </w:r>
      <w:r w:rsidRPr="006E3CAB">
        <w:rPr>
          <w:rFonts w:cstheme="minorHAnsi"/>
          <w:lang w:val="fr-FR"/>
        </w:rPr>
        <w:tab/>
      </w:r>
      <w:r w:rsidRPr="006E3CAB">
        <w:rPr>
          <w:rFonts w:cstheme="minorHAnsi"/>
          <w:lang w:val="fr-FR"/>
        </w:rPr>
        <w:tab/>
      </w:r>
      <w:r w:rsidRPr="006E3CAB">
        <w:rPr>
          <w:rFonts w:cstheme="minorHAnsi"/>
          <w:lang w:val="fr-FR"/>
        </w:rPr>
        <w:tab/>
      </w:r>
      <w:r w:rsidRPr="006E3CAB">
        <w:rPr>
          <w:rFonts w:cstheme="minorHAnsi"/>
          <w:lang w:val="fr-FR"/>
        </w:rPr>
        <w:tab/>
        <w:t>*********</w:t>
      </w:r>
    </w:p>
    <w:p w14:paraId="2C5991AD" w14:textId="77777777" w:rsidR="001A1186" w:rsidRDefault="001A1186" w:rsidP="00D368C9">
      <w:pPr>
        <w:spacing w:before="100" w:beforeAutospacing="1" w:after="100" w:afterAutospacing="1" w:line="240" w:lineRule="auto"/>
        <w:contextualSpacing/>
        <w:jc w:val="both"/>
        <w:rPr>
          <w:rFonts w:cstheme="minorHAnsi"/>
          <w:lang w:val="fr-FR"/>
        </w:rPr>
      </w:pPr>
      <w:r w:rsidRPr="006E3CAB">
        <w:rPr>
          <w:rFonts w:cstheme="minorHAnsi"/>
          <w:lang w:val="fr-FR"/>
        </w:rPr>
        <w:t xml:space="preserve">La procédure a lieu en langue française, conformément à la loi du 15 juin 1935 sur l’emploi des langues en matière judiciaire. </w:t>
      </w:r>
    </w:p>
    <w:p w14:paraId="28D1132E" w14:textId="77777777" w:rsidR="00D368C9" w:rsidRPr="006E3CAB" w:rsidRDefault="00D368C9" w:rsidP="00D368C9">
      <w:pPr>
        <w:spacing w:before="100" w:beforeAutospacing="1" w:after="100" w:afterAutospacing="1" w:line="240" w:lineRule="auto"/>
        <w:contextualSpacing/>
        <w:jc w:val="both"/>
        <w:rPr>
          <w:rFonts w:cstheme="minorHAnsi"/>
          <w:lang w:val="fr-FR"/>
        </w:rPr>
      </w:pPr>
    </w:p>
    <w:p w14:paraId="2C5991AE" w14:textId="77777777" w:rsidR="001A1186" w:rsidRDefault="00DD7E26" w:rsidP="00D368C9">
      <w:pPr>
        <w:spacing w:before="100" w:beforeAutospacing="1" w:after="100" w:afterAutospacing="1" w:line="240" w:lineRule="auto"/>
        <w:contextualSpacing/>
        <w:jc w:val="both"/>
        <w:rPr>
          <w:rFonts w:cstheme="minorHAnsi"/>
          <w:lang w:val="fr-FR"/>
        </w:rPr>
      </w:pPr>
      <w:r w:rsidRPr="006E3CAB">
        <w:rPr>
          <w:rFonts w:cstheme="minorHAnsi"/>
          <w:lang w:val="fr-FR"/>
        </w:rPr>
        <w:t xml:space="preserve">La </w:t>
      </w:r>
      <w:r w:rsidR="00F91E52" w:rsidRPr="006E3CAB">
        <w:rPr>
          <w:rFonts w:cstheme="minorHAnsi"/>
          <w:lang w:val="fr-FR"/>
        </w:rPr>
        <w:t>requête contradictoire en cessati</w:t>
      </w:r>
      <w:r w:rsidR="004F7C85" w:rsidRPr="006E3CAB">
        <w:rPr>
          <w:rFonts w:cstheme="minorHAnsi"/>
          <w:lang w:val="fr-FR"/>
        </w:rPr>
        <w:t>on a été reçue</w:t>
      </w:r>
      <w:r w:rsidR="00921D8A" w:rsidRPr="006E3CAB">
        <w:rPr>
          <w:rFonts w:cstheme="minorHAnsi"/>
          <w:lang w:val="fr-FR"/>
        </w:rPr>
        <w:t xml:space="preserve"> au greffe le</w:t>
      </w:r>
      <w:r w:rsidR="008F71B9" w:rsidRPr="006E3CAB">
        <w:rPr>
          <w:rFonts w:cstheme="minorHAnsi"/>
          <w:lang w:val="fr-FR"/>
        </w:rPr>
        <w:t xml:space="preserve"> 1</w:t>
      </w:r>
      <w:r w:rsidR="008F71B9" w:rsidRPr="006E3CAB">
        <w:rPr>
          <w:rFonts w:cstheme="minorHAnsi"/>
          <w:vertAlign w:val="superscript"/>
          <w:lang w:val="fr-FR"/>
        </w:rPr>
        <w:t>er</w:t>
      </w:r>
      <w:r w:rsidR="008F71B9" w:rsidRPr="006E3CAB">
        <w:rPr>
          <w:rFonts w:cstheme="minorHAnsi"/>
          <w:lang w:val="fr-FR"/>
        </w:rPr>
        <w:t xml:space="preserve"> avril 2022</w:t>
      </w:r>
      <w:r w:rsidR="00E6531A" w:rsidRPr="006E3CAB">
        <w:rPr>
          <w:rFonts w:cstheme="minorHAnsi"/>
          <w:lang w:val="fr-FR"/>
        </w:rPr>
        <w:t>.</w:t>
      </w:r>
    </w:p>
    <w:p w14:paraId="728BB115" w14:textId="77777777" w:rsidR="00D368C9" w:rsidRPr="006E3CAB" w:rsidRDefault="00D368C9" w:rsidP="00D368C9">
      <w:pPr>
        <w:spacing w:before="100" w:beforeAutospacing="1" w:after="100" w:afterAutospacing="1" w:line="240" w:lineRule="auto"/>
        <w:contextualSpacing/>
        <w:jc w:val="both"/>
        <w:rPr>
          <w:rFonts w:cstheme="minorHAnsi"/>
          <w:lang w:val="fr-FR"/>
        </w:rPr>
      </w:pPr>
    </w:p>
    <w:p w14:paraId="2C5991AF" w14:textId="77271F6E" w:rsidR="004D08B0" w:rsidRDefault="003D4944" w:rsidP="00D368C9">
      <w:pPr>
        <w:spacing w:before="100" w:beforeAutospacing="1" w:after="100" w:afterAutospacing="1" w:line="240" w:lineRule="auto"/>
        <w:contextualSpacing/>
        <w:jc w:val="both"/>
        <w:rPr>
          <w:rFonts w:cstheme="minorHAnsi"/>
          <w:lang w:val="fr-FR"/>
        </w:rPr>
      </w:pPr>
      <w:r w:rsidRPr="006E3CAB">
        <w:rPr>
          <w:rFonts w:cstheme="minorHAnsi"/>
          <w:lang w:val="fr-FR"/>
        </w:rPr>
        <w:t xml:space="preserve">L’affaire étant de la compétence du président du tribunal </w:t>
      </w:r>
      <w:r w:rsidR="00921D8A" w:rsidRPr="006E3CAB">
        <w:rPr>
          <w:rFonts w:cstheme="minorHAnsi"/>
          <w:lang w:val="fr-FR"/>
        </w:rPr>
        <w:t xml:space="preserve">(confer aussi </w:t>
      </w:r>
      <w:r w:rsidRPr="006E3CAB">
        <w:rPr>
          <w:rFonts w:cstheme="minorHAnsi"/>
          <w:lang w:val="fr-FR"/>
        </w:rPr>
        <w:t>l’article 2 du Règlement particu</w:t>
      </w:r>
      <w:r w:rsidR="00921D8A" w:rsidRPr="006E3CAB">
        <w:rPr>
          <w:rFonts w:cstheme="minorHAnsi"/>
          <w:lang w:val="fr-FR"/>
        </w:rPr>
        <w:t>lier du tribunal du travail de L</w:t>
      </w:r>
      <w:r w:rsidRPr="006E3CAB">
        <w:rPr>
          <w:rFonts w:cstheme="minorHAnsi"/>
          <w:lang w:val="fr-FR"/>
        </w:rPr>
        <w:t>iège</w:t>
      </w:r>
      <w:r w:rsidR="00921D8A" w:rsidRPr="006E3CAB">
        <w:rPr>
          <w:rFonts w:cstheme="minorHAnsi"/>
          <w:lang w:val="fr-FR"/>
        </w:rPr>
        <w:t>)</w:t>
      </w:r>
      <w:r w:rsidRPr="006E3CAB">
        <w:rPr>
          <w:rFonts w:cstheme="minorHAnsi"/>
          <w:lang w:val="fr-FR"/>
        </w:rPr>
        <w:t xml:space="preserve">, a été fixée à l’audience de référé du </w:t>
      </w:r>
      <w:r w:rsidR="008F71B9" w:rsidRPr="006E3CAB">
        <w:rPr>
          <w:rFonts w:cstheme="minorHAnsi"/>
          <w:lang w:val="fr-FR"/>
        </w:rPr>
        <w:t>21 avril 2022</w:t>
      </w:r>
      <w:r w:rsidR="00623CC4" w:rsidRPr="006E3CAB">
        <w:rPr>
          <w:rFonts w:cstheme="minorHAnsi"/>
          <w:lang w:val="fr-FR"/>
        </w:rPr>
        <w:t xml:space="preserve">,  </w:t>
      </w:r>
      <w:r w:rsidR="008F71B9" w:rsidRPr="006E3CAB">
        <w:rPr>
          <w:rFonts w:cstheme="minorHAnsi"/>
          <w:lang w:val="fr-FR"/>
        </w:rPr>
        <w:t>puis à l’audience de remise du 3 mai 2022</w:t>
      </w:r>
      <w:r w:rsidR="00623CC4" w:rsidRPr="006E3CAB">
        <w:rPr>
          <w:rFonts w:cstheme="minorHAnsi"/>
          <w:lang w:val="fr-FR"/>
        </w:rPr>
        <w:t>.</w:t>
      </w:r>
    </w:p>
    <w:p w14:paraId="7592AABE" w14:textId="77777777" w:rsidR="00D368C9" w:rsidRPr="006E3CAB" w:rsidRDefault="00D368C9" w:rsidP="00D368C9">
      <w:pPr>
        <w:spacing w:before="100" w:beforeAutospacing="1" w:after="100" w:afterAutospacing="1" w:line="240" w:lineRule="auto"/>
        <w:contextualSpacing/>
        <w:jc w:val="both"/>
        <w:rPr>
          <w:rFonts w:cstheme="minorHAnsi"/>
          <w:lang w:val="fr-FR"/>
        </w:rPr>
      </w:pPr>
    </w:p>
    <w:p w14:paraId="4CBE44A8" w14:textId="4F4F4821" w:rsidR="000215BA" w:rsidRDefault="000215BA" w:rsidP="00D368C9">
      <w:pPr>
        <w:spacing w:before="100" w:beforeAutospacing="1" w:after="100" w:afterAutospacing="1" w:line="240" w:lineRule="auto"/>
        <w:contextualSpacing/>
        <w:jc w:val="both"/>
        <w:rPr>
          <w:rFonts w:cstheme="minorHAnsi"/>
          <w:lang w:val="fr-FR"/>
        </w:rPr>
      </w:pPr>
      <w:r w:rsidRPr="006E3CAB">
        <w:rPr>
          <w:rFonts w:cstheme="minorHAnsi"/>
          <w:lang w:val="fr-FR"/>
        </w:rPr>
        <w:t xml:space="preserve">Par ordonnance du 4 mai 2022, </w:t>
      </w:r>
      <w:r w:rsidR="00296F1D" w:rsidRPr="006E3CAB">
        <w:rPr>
          <w:rFonts w:cstheme="minorHAnsi"/>
          <w:lang w:val="fr-FR"/>
        </w:rPr>
        <w:t>un médiateur social a été désigné, mais sa mission n’a pas abouti.</w:t>
      </w:r>
    </w:p>
    <w:p w14:paraId="0FCE65EC" w14:textId="77777777" w:rsidR="00D368C9" w:rsidRPr="006E3CAB" w:rsidRDefault="00D368C9" w:rsidP="00D368C9">
      <w:pPr>
        <w:spacing w:before="100" w:beforeAutospacing="1" w:after="100" w:afterAutospacing="1" w:line="240" w:lineRule="auto"/>
        <w:contextualSpacing/>
        <w:jc w:val="both"/>
        <w:rPr>
          <w:rFonts w:cstheme="minorHAnsi"/>
          <w:lang w:val="fr-FR"/>
        </w:rPr>
      </w:pPr>
    </w:p>
    <w:p w14:paraId="19AB8383" w14:textId="47507693" w:rsidR="00296F1D" w:rsidRDefault="00296F1D" w:rsidP="00D368C9">
      <w:pPr>
        <w:spacing w:before="100" w:beforeAutospacing="1" w:after="100" w:afterAutospacing="1" w:line="240" w:lineRule="auto"/>
        <w:contextualSpacing/>
        <w:jc w:val="both"/>
        <w:rPr>
          <w:rFonts w:cstheme="minorHAnsi"/>
          <w:lang w:val="fr-FR"/>
        </w:rPr>
      </w:pPr>
      <w:r w:rsidRPr="006E3CAB">
        <w:rPr>
          <w:rFonts w:cstheme="minorHAnsi"/>
          <w:lang w:val="fr-FR"/>
        </w:rPr>
        <w:t xml:space="preserve">Un calendrier de </w:t>
      </w:r>
      <w:r w:rsidR="00D15200" w:rsidRPr="006E3CAB">
        <w:rPr>
          <w:rFonts w:cstheme="minorHAnsi"/>
          <w:lang w:val="fr-FR"/>
        </w:rPr>
        <w:t>mise en état judiciaire</w:t>
      </w:r>
      <w:r w:rsidRPr="006E3CAB">
        <w:rPr>
          <w:rFonts w:cstheme="minorHAnsi"/>
          <w:lang w:val="fr-FR"/>
        </w:rPr>
        <w:t xml:space="preserve"> a été </w:t>
      </w:r>
      <w:r w:rsidR="009D3B5B" w:rsidRPr="006E3CAB">
        <w:rPr>
          <w:rFonts w:cstheme="minorHAnsi"/>
          <w:lang w:val="fr-FR"/>
        </w:rPr>
        <w:t xml:space="preserve">établi par ordonnance du </w:t>
      </w:r>
      <w:r w:rsidR="00C92713" w:rsidRPr="006E3CAB">
        <w:rPr>
          <w:rFonts w:cstheme="minorHAnsi"/>
          <w:lang w:val="fr-FR"/>
        </w:rPr>
        <w:t>17 janvier 2023</w:t>
      </w:r>
      <w:r w:rsidR="009D3B5B" w:rsidRPr="006E3CAB">
        <w:rPr>
          <w:rFonts w:cstheme="minorHAnsi"/>
          <w:lang w:val="fr-FR"/>
        </w:rPr>
        <w:t>, et audience a été fixée pour plaider le 12 septembre 2023.</w:t>
      </w:r>
    </w:p>
    <w:p w14:paraId="4455F047" w14:textId="77777777" w:rsidR="00D368C9" w:rsidRPr="006E3CAB" w:rsidRDefault="00D368C9" w:rsidP="00D368C9">
      <w:pPr>
        <w:spacing w:before="100" w:beforeAutospacing="1" w:after="100" w:afterAutospacing="1" w:line="240" w:lineRule="auto"/>
        <w:contextualSpacing/>
        <w:jc w:val="both"/>
        <w:rPr>
          <w:rFonts w:cstheme="minorHAnsi"/>
          <w:lang w:val="fr-FR"/>
        </w:rPr>
      </w:pPr>
    </w:p>
    <w:p w14:paraId="217145C2" w14:textId="23EF97D3" w:rsidR="009D3B5B" w:rsidRDefault="009D3B5B" w:rsidP="00D368C9">
      <w:pPr>
        <w:spacing w:before="100" w:beforeAutospacing="1" w:after="100" w:afterAutospacing="1" w:line="240" w:lineRule="auto"/>
        <w:contextualSpacing/>
        <w:jc w:val="both"/>
        <w:rPr>
          <w:rFonts w:cstheme="minorHAnsi"/>
          <w:lang w:val="fr-FR"/>
        </w:rPr>
      </w:pPr>
      <w:r w:rsidRPr="006E3CAB">
        <w:rPr>
          <w:rFonts w:cstheme="minorHAnsi"/>
          <w:lang w:val="fr-FR"/>
        </w:rPr>
        <w:t>Entretemps, UNIA est intervenu volontairement à la procédure (en mai 2023).</w:t>
      </w:r>
    </w:p>
    <w:p w14:paraId="1A0A2456" w14:textId="77777777" w:rsidR="00D368C9" w:rsidRPr="006E3CAB" w:rsidRDefault="00D368C9" w:rsidP="00D368C9">
      <w:pPr>
        <w:spacing w:before="100" w:beforeAutospacing="1" w:after="100" w:afterAutospacing="1" w:line="240" w:lineRule="auto"/>
        <w:contextualSpacing/>
        <w:jc w:val="both"/>
        <w:rPr>
          <w:rFonts w:cstheme="minorHAnsi"/>
          <w:lang w:val="fr-FR"/>
        </w:rPr>
      </w:pPr>
    </w:p>
    <w:p w14:paraId="40530CFA" w14:textId="10EEBBDA" w:rsidR="009D3B5B" w:rsidRPr="006E3CAB" w:rsidRDefault="009D3B5B" w:rsidP="00D368C9">
      <w:pPr>
        <w:spacing w:before="100" w:beforeAutospacing="1" w:after="100" w:afterAutospacing="1" w:line="240" w:lineRule="auto"/>
        <w:contextualSpacing/>
        <w:jc w:val="both"/>
        <w:rPr>
          <w:rFonts w:cstheme="minorHAnsi"/>
          <w:lang w:val="fr-FR"/>
        </w:rPr>
      </w:pPr>
      <w:r w:rsidRPr="006E3CAB">
        <w:rPr>
          <w:rFonts w:cstheme="minorHAnsi"/>
          <w:lang w:val="fr-FR"/>
        </w:rPr>
        <w:t xml:space="preserve">Les parties ont déposé </w:t>
      </w:r>
      <w:r w:rsidR="00C92713" w:rsidRPr="006E3CAB">
        <w:rPr>
          <w:rFonts w:cstheme="minorHAnsi"/>
          <w:lang w:val="fr-FR"/>
        </w:rPr>
        <w:t>leurs</w:t>
      </w:r>
      <w:r w:rsidRPr="006E3CAB">
        <w:rPr>
          <w:rFonts w:cstheme="minorHAnsi"/>
          <w:lang w:val="fr-FR"/>
        </w:rPr>
        <w:t xml:space="preserve"> conclusions et leurs dossiers de pièces.</w:t>
      </w:r>
    </w:p>
    <w:p w14:paraId="29CD25FD" w14:textId="6D38D3C5" w:rsidR="0077572D" w:rsidRPr="006E3CAB" w:rsidRDefault="00AF1A25" w:rsidP="00D368C9">
      <w:pPr>
        <w:pStyle w:val="Liste"/>
        <w:spacing w:before="100" w:beforeAutospacing="1" w:after="100" w:afterAutospacing="1"/>
        <w:ind w:left="0" w:firstLine="0"/>
        <w:contextualSpacing/>
        <w:jc w:val="both"/>
        <w:rPr>
          <w:rFonts w:asciiTheme="minorHAnsi" w:hAnsiTheme="minorHAnsi" w:cstheme="minorHAnsi"/>
          <w:sz w:val="22"/>
          <w:szCs w:val="22"/>
          <w:lang w:val="fr-BE"/>
        </w:rPr>
      </w:pPr>
      <w:r w:rsidRPr="006E3CAB">
        <w:rPr>
          <w:rFonts w:asciiTheme="minorHAnsi" w:hAnsiTheme="minorHAnsi" w:cstheme="minorHAnsi"/>
          <w:sz w:val="22"/>
          <w:szCs w:val="22"/>
          <w:lang w:val="fr-BE"/>
        </w:rPr>
        <w:t>La feuille d’audience du 12/9/2023</w:t>
      </w:r>
      <w:r w:rsidR="00407920" w:rsidRPr="006E3CAB">
        <w:rPr>
          <w:rFonts w:asciiTheme="minorHAnsi" w:hAnsiTheme="minorHAnsi" w:cstheme="minorHAnsi"/>
          <w:sz w:val="22"/>
          <w:szCs w:val="22"/>
          <w:lang w:val="fr-BE"/>
        </w:rPr>
        <w:t xml:space="preserve"> acte </w:t>
      </w:r>
      <w:r w:rsidR="004C3181" w:rsidRPr="006E3CAB">
        <w:rPr>
          <w:rFonts w:asciiTheme="minorHAnsi" w:hAnsiTheme="minorHAnsi" w:cstheme="minorHAnsi"/>
          <w:sz w:val="22"/>
          <w:szCs w:val="22"/>
          <w:lang w:val="fr-BE"/>
        </w:rPr>
        <w:t>les propos suivants :</w:t>
      </w:r>
    </w:p>
    <w:p w14:paraId="6C045035" w14:textId="0A4E3B31" w:rsidR="004C3181" w:rsidRPr="006E3CAB" w:rsidRDefault="004C3181" w:rsidP="00D368C9">
      <w:pPr>
        <w:pStyle w:val="Liste"/>
        <w:spacing w:before="100" w:beforeAutospacing="1" w:after="100" w:afterAutospacing="1"/>
        <w:ind w:left="0" w:firstLine="0"/>
        <w:contextualSpacing/>
        <w:jc w:val="both"/>
        <w:rPr>
          <w:rFonts w:asciiTheme="minorHAnsi" w:hAnsiTheme="minorHAnsi" w:cstheme="minorHAnsi"/>
          <w:i/>
          <w:iCs/>
          <w:sz w:val="22"/>
          <w:szCs w:val="22"/>
          <w:lang w:val="fr-BE"/>
        </w:rPr>
      </w:pPr>
      <w:r w:rsidRPr="006E3CAB">
        <w:rPr>
          <w:rFonts w:asciiTheme="minorHAnsi" w:hAnsiTheme="minorHAnsi" w:cstheme="minorHAnsi"/>
          <w:i/>
          <w:iCs/>
          <w:sz w:val="22"/>
          <w:szCs w:val="22"/>
          <w:lang w:val="fr-BE"/>
        </w:rPr>
        <w:t>« M</w:t>
      </w:r>
      <w:r w:rsidR="00BE3F16">
        <w:rPr>
          <w:rFonts w:asciiTheme="minorHAnsi" w:hAnsiTheme="minorHAnsi" w:cstheme="minorHAnsi"/>
          <w:i/>
          <w:iCs/>
          <w:sz w:val="22"/>
          <w:szCs w:val="22"/>
          <w:lang w:val="fr-BE"/>
        </w:rPr>
        <w:t>aître</w:t>
      </w:r>
      <w:r w:rsidRPr="006E3CAB">
        <w:rPr>
          <w:rFonts w:asciiTheme="minorHAnsi" w:hAnsiTheme="minorHAnsi" w:cstheme="minorHAnsi"/>
          <w:i/>
          <w:iCs/>
          <w:sz w:val="22"/>
          <w:szCs w:val="22"/>
          <w:lang w:val="fr-BE"/>
        </w:rPr>
        <w:t xml:space="preserve"> </w:t>
      </w:r>
      <w:proofErr w:type="spellStart"/>
      <w:r w:rsidRPr="006E3CAB">
        <w:rPr>
          <w:rFonts w:asciiTheme="minorHAnsi" w:hAnsiTheme="minorHAnsi" w:cstheme="minorHAnsi"/>
          <w:i/>
          <w:iCs/>
          <w:sz w:val="22"/>
          <w:szCs w:val="22"/>
          <w:lang w:val="fr-BE"/>
        </w:rPr>
        <w:t>Lambinet</w:t>
      </w:r>
      <w:proofErr w:type="spellEnd"/>
      <w:r w:rsidRPr="006E3CAB">
        <w:rPr>
          <w:rFonts w:asciiTheme="minorHAnsi" w:hAnsiTheme="minorHAnsi" w:cstheme="minorHAnsi"/>
          <w:i/>
          <w:iCs/>
          <w:sz w:val="22"/>
          <w:szCs w:val="22"/>
          <w:lang w:val="fr-BE"/>
        </w:rPr>
        <w:t xml:space="preserve"> signale que pour le travailleur, il est impossible de rester assis toute la journée (journée complète de travail) dans son bus.</w:t>
      </w:r>
    </w:p>
    <w:p w14:paraId="78759974" w14:textId="2853C8C4" w:rsidR="004C3181" w:rsidRPr="006E3CAB" w:rsidRDefault="004C3181" w:rsidP="00D368C9">
      <w:pPr>
        <w:pStyle w:val="Liste"/>
        <w:spacing w:before="100" w:beforeAutospacing="1" w:after="100" w:afterAutospacing="1"/>
        <w:ind w:left="0" w:firstLine="0"/>
        <w:contextualSpacing/>
        <w:jc w:val="both"/>
        <w:rPr>
          <w:rFonts w:asciiTheme="minorHAnsi" w:hAnsiTheme="minorHAnsi" w:cstheme="minorHAnsi"/>
          <w:i/>
          <w:iCs/>
          <w:sz w:val="22"/>
          <w:szCs w:val="22"/>
          <w:lang w:val="fr-BE"/>
        </w:rPr>
      </w:pPr>
      <w:r w:rsidRPr="006E3CAB">
        <w:rPr>
          <w:rFonts w:asciiTheme="minorHAnsi" w:hAnsiTheme="minorHAnsi" w:cstheme="minorHAnsi"/>
          <w:i/>
          <w:iCs/>
          <w:sz w:val="22"/>
          <w:szCs w:val="22"/>
          <w:lang w:val="fr-BE"/>
        </w:rPr>
        <w:t>Elle précise ensuite qu’il faudrait faire des journées incomplètes ou alterner journées de travail/journées de repos</w:t>
      </w:r>
      <w:r w:rsidR="00DF02C8" w:rsidRPr="006E3CAB">
        <w:rPr>
          <w:rFonts w:asciiTheme="minorHAnsi" w:hAnsiTheme="minorHAnsi" w:cstheme="minorHAnsi"/>
          <w:i/>
          <w:iCs/>
          <w:sz w:val="22"/>
          <w:szCs w:val="22"/>
          <w:lang w:val="fr-BE"/>
        </w:rPr>
        <w:t>. »</w:t>
      </w:r>
      <w:r w:rsidR="00D6238E">
        <w:rPr>
          <w:rFonts w:asciiTheme="minorHAnsi" w:hAnsiTheme="minorHAnsi" w:cstheme="minorHAnsi"/>
          <w:i/>
          <w:iCs/>
          <w:sz w:val="22"/>
          <w:szCs w:val="22"/>
          <w:lang w:val="fr-BE"/>
        </w:rPr>
        <w:t>.</w:t>
      </w:r>
    </w:p>
    <w:p w14:paraId="31B6955E" w14:textId="77777777" w:rsidR="004C3181" w:rsidRPr="006E3CAB" w:rsidRDefault="004C3181" w:rsidP="00D368C9">
      <w:pPr>
        <w:pStyle w:val="Liste"/>
        <w:spacing w:before="100" w:beforeAutospacing="1" w:after="100" w:afterAutospacing="1"/>
        <w:ind w:left="0" w:firstLine="0"/>
        <w:contextualSpacing/>
        <w:jc w:val="both"/>
        <w:rPr>
          <w:rFonts w:asciiTheme="minorHAnsi" w:hAnsiTheme="minorHAnsi" w:cstheme="minorHAnsi"/>
          <w:sz w:val="22"/>
          <w:szCs w:val="22"/>
          <w:lang w:val="fr-BE"/>
        </w:rPr>
      </w:pPr>
    </w:p>
    <w:p w14:paraId="6FEE4979" w14:textId="74E20E4B" w:rsidR="0079689C" w:rsidRPr="006E3CAB" w:rsidRDefault="00DD2D72" w:rsidP="00D368C9">
      <w:pPr>
        <w:pStyle w:val="Liste"/>
        <w:spacing w:before="100" w:beforeAutospacing="1" w:after="100" w:afterAutospacing="1"/>
        <w:ind w:left="0" w:firstLine="0"/>
        <w:contextualSpacing/>
        <w:jc w:val="both"/>
        <w:rPr>
          <w:rFonts w:asciiTheme="minorHAnsi" w:hAnsiTheme="minorHAnsi" w:cstheme="minorHAnsi"/>
          <w:b/>
          <w:bCs/>
          <w:sz w:val="22"/>
          <w:szCs w:val="22"/>
        </w:rPr>
      </w:pPr>
      <w:r w:rsidRPr="006E3CAB">
        <w:rPr>
          <w:rFonts w:asciiTheme="minorHAnsi" w:hAnsiTheme="minorHAnsi" w:cstheme="minorHAnsi"/>
          <w:sz w:val="22"/>
          <w:szCs w:val="22"/>
        </w:rPr>
        <w:t xml:space="preserve"> </w:t>
      </w:r>
    </w:p>
    <w:p w14:paraId="5925A4BE" w14:textId="196E1874" w:rsidR="0079689C" w:rsidRPr="006E3CAB" w:rsidRDefault="0079689C" w:rsidP="003A031B">
      <w:pPr>
        <w:pStyle w:val="Liste"/>
        <w:numPr>
          <w:ilvl w:val="0"/>
          <w:numId w:val="23"/>
        </w:numPr>
        <w:spacing w:before="100" w:beforeAutospacing="1" w:after="100" w:afterAutospacing="1"/>
        <w:contextualSpacing/>
        <w:jc w:val="both"/>
        <w:rPr>
          <w:rFonts w:asciiTheme="minorHAnsi" w:hAnsiTheme="minorHAnsi" w:cstheme="minorHAnsi"/>
          <w:b/>
          <w:bCs/>
          <w:sz w:val="22"/>
          <w:szCs w:val="22"/>
          <w:u w:val="single"/>
        </w:rPr>
      </w:pPr>
      <w:r w:rsidRPr="006E3CAB">
        <w:rPr>
          <w:rFonts w:asciiTheme="minorHAnsi" w:hAnsiTheme="minorHAnsi" w:cstheme="minorHAnsi"/>
          <w:b/>
          <w:bCs/>
          <w:sz w:val="22"/>
          <w:szCs w:val="22"/>
          <w:u w:val="single"/>
        </w:rPr>
        <w:t>LES FAITS</w:t>
      </w:r>
      <w:r w:rsidR="00945FD9" w:rsidRPr="006E3CAB">
        <w:rPr>
          <w:rFonts w:asciiTheme="minorHAnsi" w:hAnsiTheme="minorHAnsi" w:cstheme="minorHAnsi"/>
          <w:b/>
          <w:bCs/>
          <w:sz w:val="22"/>
          <w:szCs w:val="22"/>
          <w:u w:val="single"/>
        </w:rPr>
        <w:t xml:space="preserve"> PRINCIPAUX</w:t>
      </w:r>
    </w:p>
    <w:p w14:paraId="2C5991B6" w14:textId="77777777" w:rsidR="00F51686" w:rsidRPr="006E3CAB" w:rsidRDefault="00F51686" w:rsidP="00D368C9">
      <w:pPr>
        <w:pStyle w:val="Liste"/>
        <w:spacing w:before="100" w:beforeAutospacing="1" w:after="100" w:afterAutospacing="1"/>
        <w:ind w:left="0" w:firstLine="0"/>
        <w:contextualSpacing/>
        <w:jc w:val="both"/>
        <w:rPr>
          <w:rFonts w:asciiTheme="minorHAnsi" w:hAnsiTheme="minorHAnsi" w:cstheme="minorHAnsi"/>
          <w:b/>
          <w:bCs/>
          <w:sz w:val="22"/>
          <w:szCs w:val="22"/>
        </w:rPr>
      </w:pPr>
    </w:p>
    <w:p w14:paraId="2C5991B7" w14:textId="6BF96390" w:rsidR="00F32A0E" w:rsidRPr="006E3CAB" w:rsidRDefault="00F32A0E"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Monsieur </w:t>
      </w:r>
      <w:r w:rsidR="00AC7907">
        <w:rPr>
          <w:rFonts w:asciiTheme="minorHAnsi" w:hAnsiTheme="minorHAnsi" w:cstheme="minorHAnsi"/>
          <w:bCs/>
          <w:sz w:val="22"/>
          <w:szCs w:val="22"/>
        </w:rPr>
        <w:t>P</w:t>
      </w:r>
      <w:r w:rsidRPr="006E3CAB">
        <w:rPr>
          <w:rFonts w:asciiTheme="minorHAnsi" w:hAnsiTheme="minorHAnsi" w:cstheme="minorHAnsi"/>
          <w:bCs/>
          <w:sz w:val="22"/>
          <w:szCs w:val="22"/>
        </w:rPr>
        <w:t xml:space="preserve"> a été engagé auprès du TEC le 28 janvier 2017, dans le cadre d’un contrat de travail en qualité de chauffeur.</w:t>
      </w:r>
    </w:p>
    <w:p w14:paraId="2C5991B8" w14:textId="77777777" w:rsidR="00F32A0E" w:rsidRPr="006E3CAB" w:rsidRDefault="00F32A0E"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2C5991B9" w14:textId="6DE53614" w:rsidR="00F32A0E" w:rsidRPr="006E3CAB" w:rsidRDefault="00F32A0E"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Le </w:t>
      </w:r>
      <w:r w:rsidR="00AC7907">
        <w:rPr>
          <w:rFonts w:asciiTheme="minorHAnsi" w:hAnsiTheme="minorHAnsi" w:cstheme="minorHAnsi"/>
          <w:bCs/>
          <w:sz w:val="22"/>
          <w:szCs w:val="22"/>
        </w:rPr>
        <w:t>….</w:t>
      </w:r>
      <w:r w:rsidRPr="006E3CAB">
        <w:rPr>
          <w:rFonts w:asciiTheme="minorHAnsi" w:hAnsiTheme="minorHAnsi" w:cstheme="minorHAnsi"/>
          <w:bCs/>
          <w:sz w:val="22"/>
          <w:szCs w:val="22"/>
        </w:rPr>
        <w:t xml:space="preserve"> 2019, il a subi un accident du travail (chute donnant lieu à une fracture de la vertèbre D12 avec des complications handicapantes, des côtes froissées, un gonflement au niveau du genou et de multiples hématomes au niveau de la cheville).</w:t>
      </w:r>
    </w:p>
    <w:p w14:paraId="2C5991BA" w14:textId="77777777" w:rsidR="00F32A0E" w:rsidRPr="006E3CAB" w:rsidRDefault="00F32A0E"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2C5991BB" w14:textId="77777777" w:rsidR="00F32A0E" w:rsidRPr="006E3CAB" w:rsidRDefault="00F32A0E"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L’accident du travail a été reconnu par l’assureur-loi, ETHIAS.</w:t>
      </w:r>
    </w:p>
    <w:p w14:paraId="2C5991BC" w14:textId="77777777" w:rsidR="00F32A0E" w:rsidRPr="006E3CAB" w:rsidRDefault="00F32A0E"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2C5991BD" w14:textId="77777777" w:rsidR="00F32A0E" w:rsidRPr="006E3CAB" w:rsidRDefault="00F32A0E"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La consolidation des lésions n’est pas encore intervenue.</w:t>
      </w:r>
    </w:p>
    <w:p w14:paraId="2C5991BE" w14:textId="77777777" w:rsidR="00F32A0E" w:rsidRPr="006E3CAB" w:rsidRDefault="00F32A0E"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2C5991BF" w14:textId="593AE7F6" w:rsidR="00F32A0E" w:rsidRPr="006E3CAB" w:rsidRDefault="00F32A0E"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Dans le cadre de son incapacité, il a été recommandé à Monsieur </w:t>
      </w:r>
      <w:r w:rsidR="00AC7907">
        <w:rPr>
          <w:rFonts w:asciiTheme="minorHAnsi" w:hAnsiTheme="minorHAnsi" w:cstheme="minorHAnsi"/>
          <w:bCs/>
          <w:sz w:val="22"/>
          <w:szCs w:val="22"/>
        </w:rPr>
        <w:t>P</w:t>
      </w:r>
      <w:r w:rsidRPr="006E3CAB">
        <w:rPr>
          <w:rFonts w:asciiTheme="minorHAnsi" w:hAnsiTheme="minorHAnsi" w:cstheme="minorHAnsi"/>
          <w:bCs/>
          <w:sz w:val="22"/>
          <w:szCs w:val="22"/>
        </w:rPr>
        <w:t>, par le conseiller en prévention-médecin du travail et par le médecin conseil de sa mutuelle,  de ne reprendre le travail qu’à mi-temps, au minimum jusqu’au 31 août 2021, ou de changer de poste de travail.</w:t>
      </w:r>
    </w:p>
    <w:p w14:paraId="2C5991C0" w14:textId="77777777" w:rsidR="00F32A0E" w:rsidRPr="006E3CAB" w:rsidRDefault="00F32A0E"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2C5991C1" w14:textId="77777777" w:rsidR="00F32A0E" w:rsidRPr="006E3CAB" w:rsidRDefault="00F32A0E"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Un litige est survenu quant à la prolongation de ce mi-temps médical au-delà de fin août 2021, demande refusée par le TEC.</w:t>
      </w:r>
    </w:p>
    <w:p w14:paraId="2B9572EF" w14:textId="77777777" w:rsidR="005C48E5" w:rsidRPr="006E3CAB" w:rsidRDefault="005C48E5"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4CB0DC0C" w14:textId="41358725" w:rsidR="005C48E5" w:rsidRPr="006E3CAB" w:rsidRDefault="005C48E5"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lastRenderedPageBreak/>
        <w:t xml:space="preserve">Le 8 décembre 2021, </w:t>
      </w:r>
      <w:r w:rsidR="00763417" w:rsidRPr="006E3CAB">
        <w:rPr>
          <w:rFonts w:asciiTheme="minorHAnsi" w:hAnsiTheme="minorHAnsi" w:cstheme="minorHAnsi"/>
          <w:bCs/>
          <w:sz w:val="22"/>
          <w:szCs w:val="22"/>
        </w:rPr>
        <w:t xml:space="preserve">Monsieur </w:t>
      </w:r>
      <w:r w:rsidR="00AC7907">
        <w:rPr>
          <w:rFonts w:asciiTheme="minorHAnsi" w:hAnsiTheme="minorHAnsi" w:cstheme="minorHAnsi"/>
          <w:bCs/>
          <w:sz w:val="22"/>
          <w:szCs w:val="22"/>
        </w:rPr>
        <w:t>P</w:t>
      </w:r>
      <w:r w:rsidR="00763417" w:rsidRPr="006E3CAB">
        <w:rPr>
          <w:rFonts w:asciiTheme="minorHAnsi" w:hAnsiTheme="minorHAnsi" w:cstheme="minorHAnsi"/>
          <w:bCs/>
          <w:sz w:val="22"/>
          <w:szCs w:val="22"/>
        </w:rPr>
        <w:t xml:space="preserve"> a été examiné par le SEPTT, </w:t>
      </w:r>
      <w:r w:rsidR="001B717A" w:rsidRPr="006E3CAB">
        <w:rPr>
          <w:rFonts w:asciiTheme="minorHAnsi" w:hAnsiTheme="minorHAnsi" w:cstheme="minorHAnsi"/>
          <w:bCs/>
          <w:sz w:val="22"/>
          <w:szCs w:val="22"/>
        </w:rPr>
        <w:t>et le conseiller en prévention</w:t>
      </w:r>
      <w:r w:rsidR="007011F1" w:rsidRPr="006E3CAB">
        <w:rPr>
          <w:rFonts w:asciiTheme="minorHAnsi" w:hAnsiTheme="minorHAnsi" w:cstheme="minorHAnsi"/>
          <w:bCs/>
          <w:sz w:val="22"/>
          <w:szCs w:val="22"/>
        </w:rPr>
        <w:t>-</w:t>
      </w:r>
      <w:r w:rsidR="001B717A" w:rsidRPr="006E3CAB">
        <w:rPr>
          <w:rFonts w:asciiTheme="minorHAnsi" w:hAnsiTheme="minorHAnsi" w:cstheme="minorHAnsi"/>
          <w:bCs/>
          <w:sz w:val="22"/>
          <w:szCs w:val="22"/>
        </w:rPr>
        <w:t>médecin du travail a rempli un formulaire au</w:t>
      </w:r>
      <w:r w:rsidR="008D6A38" w:rsidRPr="006E3CAB">
        <w:rPr>
          <w:rFonts w:asciiTheme="minorHAnsi" w:hAnsiTheme="minorHAnsi" w:cstheme="minorHAnsi"/>
          <w:bCs/>
          <w:sz w:val="22"/>
          <w:szCs w:val="22"/>
        </w:rPr>
        <w:t>x termes duquel il le déclare apte à exercer sa fonction, sans formuler de recommandation.</w:t>
      </w:r>
    </w:p>
    <w:p w14:paraId="3B77219B" w14:textId="77777777" w:rsidR="004F0A24" w:rsidRPr="006E3CAB" w:rsidRDefault="004F0A24"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12B2EB82" w14:textId="19710E9F" w:rsidR="004F0A24" w:rsidRPr="006E3CAB" w:rsidRDefault="004F0A24"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Monsieur </w:t>
      </w:r>
      <w:r w:rsidR="00AC7907">
        <w:rPr>
          <w:rFonts w:asciiTheme="minorHAnsi" w:hAnsiTheme="minorHAnsi" w:cstheme="minorHAnsi"/>
          <w:bCs/>
          <w:sz w:val="22"/>
          <w:szCs w:val="22"/>
        </w:rPr>
        <w:t>P</w:t>
      </w:r>
      <w:r w:rsidRPr="006E3CAB">
        <w:rPr>
          <w:rFonts w:asciiTheme="minorHAnsi" w:hAnsiTheme="minorHAnsi" w:cstheme="minorHAnsi"/>
          <w:bCs/>
          <w:sz w:val="22"/>
          <w:szCs w:val="22"/>
        </w:rPr>
        <w:t xml:space="preserve"> n’a pu se satisfaire de ces explications</w:t>
      </w:r>
      <w:r w:rsidR="004E682C" w:rsidRPr="006E3CAB">
        <w:rPr>
          <w:rFonts w:asciiTheme="minorHAnsi" w:hAnsiTheme="minorHAnsi" w:cstheme="minorHAnsi"/>
          <w:bCs/>
          <w:sz w:val="22"/>
          <w:szCs w:val="22"/>
        </w:rPr>
        <w:t>, estimant ne pouvoir reprendre le travail que dans le cadre d’un mi-temps médical, en s’appuyant sur divers rapports médicaux.</w:t>
      </w:r>
    </w:p>
    <w:p w14:paraId="2C5991C2" w14:textId="77777777" w:rsidR="00F32A0E" w:rsidRPr="006E3CAB" w:rsidRDefault="00F32A0E"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2C5991C3" w14:textId="6C6FE244" w:rsidR="00F32A0E" w:rsidRPr="006E3CAB" w:rsidRDefault="004E4C10"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D</w:t>
      </w:r>
      <w:r w:rsidR="00F32A0E" w:rsidRPr="006E3CAB">
        <w:rPr>
          <w:rFonts w:asciiTheme="minorHAnsi" w:hAnsiTheme="minorHAnsi" w:cstheme="minorHAnsi"/>
          <w:bCs/>
          <w:sz w:val="22"/>
          <w:szCs w:val="22"/>
        </w:rPr>
        <w:t>e multiples échanges de courriers sont intervenus entre les parties, directement ou via leurs conseils.</w:t>
      </w:r>
    </w:p>
    <w:p w14:paraId="2C5991C4" w14:textId="77777777" w:rsidR="00F32A0E" w:rsidRPr="006E3CAB" w:rsidRDefault="00F32A0E"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2C5991C5" w14:textId="7A2A79D3" w:rsidR="00DB1FAC" w:rsidRPr="006E3CAB" w:rsidRDefault="00DB1FAC"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Divers faits et difficultés sont apparues </w:t>
      </w:r>
      <w:r w:rsidR="009A07F8" w:rsidRPr="006E3CAB">
        <w:rPr>
          <w:rFonts w:asciiTheme="minorHAnsi" w:hAnsiTheme="minorHAnsi" w:cstheme="minorHAnsi"/>
          <w:bCs/>
          <w:sz w:val="22"/>
          <w:szCs w:val="22"/>
        </w:rPr>
        <w:t xml:space="preserve">depuis lors </w:t>
      </w:r>
      <w:r w:rsidRPr="006E3CAB">
        <w:rPr>
          <w:rFonts w:asciiTheme="minorHAnsi" w:hAnsiTheme="minorHAnsi" w:cstheme="minorHAnsi"/>
          <w:bCs/>
          <w:sz w:val="22"/>
          <w:szCs w:val="22"/>
        </w:rPr>
        <w:t xml:space="preserve">entre </w:t>
      </w:r>
      <w:r w:rsidR="00052B98" w:rsidRPr="006E3CAB">
        <w:rPr>
          <w:rFonts w:asciiTheme="minorHAnsi" w:hAnsiTheme="minorHAnsi" w:cstheme="minorHAnsi"/>
          <w:bCs/>
          <w:sz w:val="22"/>
          <w:szCs w:val="22"/>
        </w:rPr>
        <w:t>M</w:t>
      </w:r>
      <w:r w:rsidR="00F32A0E" w:rsidRPr="006E3CAB">
        <w:rPr>
          <w:rFonts w:asciiTheme="minorHAnsi" w:hAnsiTheme="minorHAnsi" w:cstheme="minorHAnsi"/>
          <w:bCs/>
          <w:sz w:val="22"/>
          <w:szCs w:val="22"/>
        </w:rPr>
        <w:t xml:space="preserve">onsieur </w:t>
      </w:r>
      <w:r w:rsidR="00AC7907">
        <w:rPr>
          <w:rFonts w:asciiTheme="minorHAnsi" w:hAnsiTheme="minorHAnsi" w:cstheme="minorHAnsi"/>
          <w:bCs/>
          <w:sz w:val="22"/>
          <w:szCs w:val="22"/>
        </w:rPr>
        <w:t>P</w:t>
      </w:r>
      <w:r w:rsidR="00F32A0E" w:rsidRPr="006E3CAB">
        <w:rPr>
          <w:rFonts w:asciiTheme="minorHAnsi" w:hAnsiTheme="minorHAnsi" w:cstheme="minorHAnsi"/>
          <w:bCs/>
          <w:sz w:val="22"/>
          <w:szCs w:val="22"/>
        </w:rPr>
        <w:t xml:space="preserve"> et son employeur, que Monsieur </w:t>
      </w:r>
      <w:r w:rsidR="00AC7907">
        <w:rPr>
          <w:rFonts w:asciiTheme="minorHAnsi" w:hAnsiTheme="minorHAnsi" w:cstheme="minorHAnsi"/>
          <w:bCs/>
          <w:sz w:val="22"/>
          <w:szCs w:val="22"/>
        </w:rPr>
        <w:t>P</w:t>
      </w:r>
      <w:r w:rsidR="00F32A0E" w:rsidRPr="006E3CAB">
        <w:rPr>
          <w:rFonts w:asciiTheme="minorHAnsi" w:hAnsiTheme="minorHAnsi" w:cstheme="minorHAnsi"/>
          <w:bCs/>
          <w:sz w:val="22"/>
          <w:szCs w:val="22"/>
        </w:rPr>
        <w:t xml:space="preserve"> qua</w:t>
      </w:r>
      <w:r w:rsidRPr="006E3CAB">
        <w:rPr>
          <w:rFonts w:asciiTheme="minorHAnsi" w:hAnsiTheme="minorHAnsi" w:cstheme="minorHAnsi"/>
          <w:bCs/>
          <w:sz w:val="22"/>
          <w:szCs w:val="22"/>
        </w:rPr>
        <w:t xml:space="preserve">lifie d’actes de harcèlement moral </w:t>
      </w:r>
      <w:r w:rsidR="00F32A0E" w:rsidRPr="006E3CAB">
        <w:rPr>
          <w:rFonts w:asciiTheme="minorHAnsi" w:hAnsiTheme="minorHAnsi" w:cstheme="minorHAnsi"/>
          <w:bCs/>
          <w:sz w:val="22"/>
          <w:szCs w:val="22"/>
        </w:rPr>
        <w:t>et/ou de discrimination</w:t>
      </w:r>
      <w:r w:rsidR="009A07F8" w:rsidRPr="006E3CAB">
        <w:rPr>
          <w:rFonts w:asciiTheme="minorHAnsi" w:hAnsiTheme="minorHAnsi" w:cstheme="minorHAnsi"/>
          <w:bCs/>
          <w:sz w:val="22"/>
          <w:szCs w:val="22"/>
        </w:rPr>
        <w:t>, ce que conteste la partie défenderesse.</w:t>
      </w:r>
    </w:p>
    <w:p w14:paraId="2C5991C6" w14:textId="77777777" w:rsidR="009A07F8" w:rsidRPr="006E3CAB" w:rsidRDefault="009A07F8"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2C5991C7" w14:textId="27CCE700" w:rsidR="009A07F8" w:rsidRPr="006E3CAB" w:rsidRDefault="00F32A0E"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Le dialogue étant difficile, Monsieur </w:t>
      </w:r>
      <w:r w:rsidR="00AC7907">
        <w:rPr>
          <w:rFonts w:asciiTheme="minorHAnsi" w:hAnsiTheme="minorHAnsi" w:cstheme="minorHAnsi"/>
          <w:bCs/>
          <w:sz w:val="22"/>
          <w:szCs w:val="22"/>
        </w:rPr>
        <w:t>P</w:t>
      </w:r>
      <w:r w:rsidR="009A07F8" w:rsidRPr="006E3CAB">
        <w:rPr>
          <w:rFonts w:asciiTheme="minorHAnsi" w:hAnsiTheme="minorHAnsi" w:cstheme="minorHAnsi"/>
          <w:bCs/>
          <w:sz w:val="22"/>
          <w:szCs w:val="22"/>
        </w:rPr>
        <w:t xml:space="preserve"> a introduit la présente procédure judiciaire (action en cessation de faits de harcèlement moral</w:t>
      </w:r>
      <w:r w:rsidRPr="006E3CAB">
        <w:rPr>
          <w:rFonts w:asciiTheme="minorHAnsi" w:hAnsiTheme="minorHAnsi" w:cstheme="minorHAnsi"/>
          <w:bCs/>
          <w:sz w:val="22"/>
          <w:szCs w:val="22"/>
        </w:rPr>
        <w:t xml:space="preserve"> et de discrimination</w:t>
      </w:r>
      <w:r w:rsidR="009A07F8" w:rsidRPr="006E3CAB">
        <w:rPr>
          <w:rFonts w:asciiTheme="minorHAnsi" w:hAnsiTheme="minorHAnsi" w:cstheme="minorHAnsi"/>
          <w:bCs/>
          <w:sz w:val="22"/>
          <w:szCs w:val="22"/>
        </w:rPr>
        <w:t>).</w:t>
      </w:r>
    </w:p>
    <w:p w14:paraId="483558F7" w14:textId="77777777" w:rsidR="00A11EBB" w:rsidRPr="006E3CAB" w:rsidRDefault="00A11EBB"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1E135D49" w14:textId="744930EA" w:rsidR="00A11EBB" w:rsidRPr="006E3CAB" w:rsidRDefault="00A11EBB"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Par ordonnance du </w:t>
      </w:r>
      <w:r w:rsidR="006F79FA" w:rsidRPr="006E3CAB">
        <w:rPr>
          <w:rFonts w:asciiTheme="minorHAnsi" w:hAnsiTheme="minorHAnsi" w:cstheme="minorHAnsi"/>
          <w:bCs/>
          <w:sz w:val="22"/>
          <w:szCs w:val="22"/>
        </w:rPr>
        <w:t>4</w:t>
      </w:r>
      <w:r w:rsidR="000403CC" w:rsidRPr="006E3CAB">
        <w:rPr>
          <w:rFonts w:asciiTheme="minorHAnsi" w:hAnsiTheme="minorHAnsi" w:cstheme="minorHAnsi"/>
          <w:bCs/>
          <w:sz w:val="22"/>
          <w:szCs w:val="22"/>
        </w:rPr>
        <w:t xml:space="preserve"> mai 2022, le président du tribunal du travail de Liège a désigné un médiateur social</w:t>
      </w:r>
      <w:r w:rsidR="009930FB" w:rsidRPr="006E3CAB">
        <w:rPr>
          <w:rFonts w:asciiTheme="minorHAnsi" w:hAnsiTheme="minorHAnsi" w:cstheme="minorHAnsi"/>
          <w:bCs/>
          <w:sz w:val="22"/>
          <w:szCs w:val="22"/>
        </w:rPr>
        <w:t>,</w:t>
      </w:r>
      <w:r w:rsidR="00892B0A" w:rsidRPr="006E3CAB">
        <w:rPr>
          <w:rFonts w:asciiTheme="minorHAnsi" w:hAnsiTheme="minorHAnsi" w:cstheme="minorHAnsi"/>
          <w:bCs/>
          <w:sz w:val="22"/>
          <w:szCs w:val="22"/>
        </w:rPr>
        <w:t xml:space="preserve"> Maître Gaëlle Jacquemart, </w:t>
      </w:r>
      <w:r w:rsidR="009930FB" w:rsidRPr="006E3CAB">
        <w:rPr>
          <w:rFonts w:asciiTheme="minorHAnsi" w:hAnsiTheme="minorHAnsi" w:cstheme="minorHAnsi"/>
          <w:bCs/>
          <w:sz w:val="22"/>
          <w:szCs w:val="22"/>
        </w:rPr>
        <w:t xml:space="preserve"> dont la mission n’a pas abouti à un accord.</w:t>
      </w:r>
    </w:p>
    <w:p w14:paraId="08619C9F" w14:textId="77777777" w:rsidR="009930FB" w:rsidRPr="006E3CAB" w:rsidRDefault="009930FB"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6D8A8D71" w14:textId="6EB9C2BA" w:rsidR="009930FB" w:rsidRPr="006E3CAB" w:rsidRDefault="009930FB"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Par ordonnance du 17 janvier 2023, un calendrier de mise en état judiciaire de la cause a été établi.</w:t>
      </w:r>
    </w:p>
    <w:p w14:paraId="5CAF4CFC" w14:textId="77777777" w:rsidR="009930FB" w:rsidRPr="006E3CAB" w:rsidRDefault="009930FB"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5D129DF0" w14:textId="68C2DA6A" w:rsidR="00AB72CD" w:rsidRPr="006E3CAB" w:rsidRDefault="00AB72CD"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Le 17 mai 2023, UNIA  a déposé une requête en intervention volontaire</w:t>
      </w:r>
      <w:r w:rsidR="00E22654" w:rsidRPr="006E3CAB">
        <w:rPr>
          <w:rFonts w:asciiTheme="minorHAnsi" w:hAnsiTheme="minorHAnsi" w:cstheme="minorHAnsi"/>
          <w:bCs/>
          <w:sz w:val="22"/>
          <w:szCs w:val="22"/>
        </w:rPr>
        <w:t>, limitée à la problématique de la discrimination.</w:t>
      </w:r>
    </w:p>
    <w:p w14:paraId="2C5991C8" w14:textId="77777777" w:rsidR="009A07F8" w:rsidRDefault="009A07F8"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0A702473" w14:textId="77777777" w:rsidR="00D368C9" w:rsidRPr="006E3CAB" w:rsidRDefault="00D368C9"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2620E7DF" w14:textId="4727C758" w:rsidR="0079689C" w:rsidRPr="006E3CAB" w:rsidRDefault="0079689C" w:rsidP="003A031B">
      <w:pPr>
        <w:pStyle w:val="Liste"/>
        <w:numPr>
          <w:ilvl w:val="0"/>
          <w:numId w:val="23"/>
        </w:numPr>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
          <w:bCs/>
          <w:sz w:val="22"/>
          <w:szCs w:val="22"/>
          <w:u w:val="single"/>
        </w:rPr>
        <w:t>THESES DES PARTIES</w:t>
      </w:r>
      <w:r w:rsidRPr="006E3CAB">
        <w:rPr>
          <w:rFonts w:asciiTheme="minorHAnsi" w:hAnsiTheme="minorHAnsi" w:cstheme="minorHAnsi"/>
          <w:b/>
          <w:bCs/>
          <w:sz w:val="22"/>
          <w:szCs w:val="22"/>
        </w:rPr>
        <w:t> </w:t>
      </w:r>
    </w:p>
    <w:p w14:paraId="2C5991C9" w14:textId="193EA5D7" w:rsidR="009A07F8" w:rsidRPr="006E3CAB" w:rsidRDefault="009A07F8"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61DB8621" w14:textId="32780BF3" w:rsidR="006D4D3D" w:rsidRPr="006E3CAB" w:rsidRDefault="006D4D3D" w:rsidP="00D368C9">
      <w:pPr>
        <w:pStyle w:val="Liste"/>
        <w:spacing w:before="100" w:beforeAutospacing="1" w:after="100" w:afterAutospacing="1"/>
        <w:ind w:left="0" w:firstLine="0"/>
        <w:contextualSpacing/>
        <w:jc w:val="both"/>
        <w:rPr>
          <w:rFonts w:asciiTheme="minorHAnsi" w:hAnsiTheme="minorHAnsi" w:cstheme="minorHAnsi"/>
          <w:b/>
          <w:sz w:val="22"/>
          <w:szCs w:val="22"/>
          <w:u w:val="single"/>
        </w:rPr>
      </w:pPr>
      <w:r w:rsidRPr="006E3CAB">
        <w:rPr>
          <w:rFonts w:asciiTheme="minorHAnsi" w:hAnsiTheme="minorHAnsi" w:cstheme="minorHAnsi"/>
          <w:b/>
          <w:sz w:val="22"/>
          <w:szCs w:val="22"/>
          <w:u w:val="single"/>
        </w:rPr>
        <w:t xml:space="preserve">Thèse de Monsieur </w:t>
      </w:r>
      <w:r w:rsidR="00AC7907">
        <w:rPr>
          <w:rFonts w:asciiTheme="minorHAnsi" w:hAnsiTheme="minorHAnsi" w:cstheme="minorHAnsi"/>
          <w:b/>
          <w:sz w:val="22"/>
          <w:szCs w:val="22"/>
          <w:u w:val="single"/>
        </w:rPr>
        <w:t>P</w:t>
      </w:r>
    </w:p>
    <w:p w14:paraId="3DB57C13" w14:textId="77777777" w:rsidR="006D4D3D" w:rsidRPr="006E3CAB" w:rsidRDefault="006D4D3D"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7665C7CE" w14:textId="3DA31348" w:rsidR="006D4D3D" w:rsidRPr="006E3CAB" w:rsidRDefault="006D4D3D"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Par ses conclusions principales , Monsieur</w:t>
      </w:r>
      <w:r w:rsidR="009E508F" w:rsidRPr="006E3CAB">
        <w:rPr>
          <w:rFonts w:asciiTheme="minorHAnsi" w:hAnsiTheme="minorHAnsi" w:cstheme="minorHAnsi"/>
          <w:bCs/>
          <w:sz w:val="22"/>
          <w:szCs w:val="22"/>
        </w:rPr>
        <w:t xml:space="preserve"> </w:t>
      </w:r>
      <w:r w:rsidR="00AC7907">
        <w:rPr>
          <w:rFonts w:asciiTheme="minorHAnsi" w:hAnsiTheme="minorHAnsi" w:cstheme="minorHAnsi"/>
          <w:bCs/>
          <w:sz w:val="22"/>
          <w:szCs w:val="22"/>
        </w:rPr>
        <w:t>P</w:t>
      </w:r>
      <w:r w:rsidR="009E508F" w:rsidRPr="006E3CAB">
        <w:rPr>
          <w:rFonts w:asciiTheme="minorHAnsi" w:hAnsiTheme="minorHAnsi" w:cstheme="minorHAnsi"/>
          <w:bCs/>
          <w:sz w:val="22"/>
          <w:szCs w:val="22"/>
        </w:rPr>
        <w:t xml:space="preserve"> </w:t>
      </w:r>
      <w:r w:rsidRPr="006E3CAB">
        <w:rPr>
          <w:rFonts w:asciiTheme="minorHAnsi" w:hAnsiTheme="minorHAnsi" w:cstheme="minorHAnsi"/>
          <w:bCs/>
          <w:sz w:val="22"/>
          <w:szCs w:val="22"/>
        </w:rPr>
        <w:t>sollicite du tribunal :</w:t>
      </w:r>
    </w:p>
    <w:p w14:paraId="43A4CDE0" w14:textId="19B4621A" w:rsidR="00804899" w:rsidRPr="006E3CAB" w:rsidRDefault="006D4D3D" w:rsidP="00D368C9">
      <w:pPr>
        <w:pStyle w:val="Liste"/>
        <w:numPr>
          <w:ilvl w:val="0"/>
          <w:numId w:val="17"/>
        </w:numPr>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de se déclarer compétent territorialement, </w:t>
      </w:r>
      <w:r w:rsidR="006E47BF" w:rsidRPr="006E3CAB">
        <w:rPr>
          <w:rFonts w:asciiTheme="minorHAnsi" w:hAnsiTheme="minorHAnsi" w:cstheme="minorHAnsi"/>
          <w:bCs/>
          <w:sz w:val="22"/>
          <w:szCs w:val="22"/>
        </w:rPr>
        <w:t>au motif notamment qu’il exerçait également son travail dans l’arrondissement de Namur</w:t>
      </w:r>
      <w:r w:rsidR="00804899" w:rsidRPr="006E3CAB">
        <w:rPr>
          <w:rFonts w:asciiTheme="minorHAnsi" w:hAnsiTheme="minorHAnsi" w:cstheme="minorHAnsi"/>
          <w:bCs/>
          <w:sz w:val="22"/>
          <w:szCs w:val="22"/>
        </w:rPr>
        <w:t> ;</w:t>
      </w:r>
    </w:p>
    <w:p w14:paraId="63C76B1B" w14:textId="3BC92BCB" w:rsidR="00804899" w:rsidRPr="006E3CAB" w:rsidRDefault="00804899" w:rsidP="00D368C9">
      <w:pPr>
        <w:pStyle w:val="Liste"/>
        <w:numPr>
          <w:ilvl w:val="0"/>
          <w:numId w:val="17"/>
        </w:numPr>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de déclarer sa demande recevable et fondée ;</w:t>
      </w:r>
    </w:p>
    <w:p w14:paraId="710A5D51" w14:textId="462C04B9" w:rsidR="00804899" w:rsidRPr="006E3CAB" w:rsidRDefault="003A1EC2" w:rsidP="00D368C9">
      <w:pPr>
        <w:pStyle w:val="Liste"/>
        <w:numPr>
          <w:ilvl w:val="0"/>
          <w:numId w:val="17"/>
        </w:numPr>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de constater l’existence d’une discrimination au sens de la loi du 10 mai 2007 ;</w:t>
      </w:r>
    </w:p>
    <w:p w14:paraId="140F92CA" w14:textId="17B2DA4F" w:rsidR="003A1EC2" w:rsidRPr="006E3CAB" w:rsidRDefault="003A1EC2" w:rsidP="00D368C9">
      <w:pPr>
        <w:pStyle w:val="Liste"/>
        <w:numPr>
          <w:ilvl w:val="0"/>
          <w:numId w:val="17"/>
        </w:numPr>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d’ordonner la cessation de la discrimination ;</w:t>
      </w:r>
    </w:p>
    <w:p w14:paraId="65516B13" w14:textId="6DC116A6" w:rsidR="003A1EC2" w:rsidRPr="006E3CAB" w:rsidRDefault="003A1EC2" w:rsidP="00D368C9">
      <w:pPr>
        <w:pStyle w:val="Liste"/>
        <w:numPr>
          <w:ilvl w:val="0"/>
          <w:numId w:val="17"/>
        </w:numPr>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d’ordonner à l’OTW de faire droit à la demande de mi-temps médical</w:t>
      </w:r>
      <w:r w:rsidR="00272062" w:rsidRPr="006E3CAB">
        <w:rPr>
          <w:rFonts w:asciiTheme="minorHAnsi" w:hAnsiTheme="minorHAnsi" w:cstheme="minorHAnsi"/>
          <w:bCs/>
          <w:sz w:val="22"/>
          <w:szCs w:val="22"/>
        </w:rPr>
        <w:t xml:space="preserve"> de Monsieur </w:t>
      </w:r>
      <w:r w:rsidR="00AC7907">
        <w:rPr>
          <w:rFonts w:asciiTheme="minorHAnsi" w:hAnsiTheme="minorHAnsi" w:cstheme="minorHAnsi"/>
          <w:bCs/>
          <w:sz w:val="22"/>
          <w:szCs w:val="22"/>
        </w:rPr>
        <w:t>P</w:t>
      </w:r>
      <w:r w:rsidR="00272062" w:rsidRPr="006E3CAB">
        <w:rPr>
          <w:rFonts w:asciiTheme="minorHAnsi" w:hAnsiTheme="minorHAnsi" w:cstheme="minorHAnsi"/>
          <w:bCs/>
          <w:sz w:val="22"/>
          <w:szCs w:val="22"/>
        </w:rPr>
        <w:t>, tant que son handicap le justifiera ;</w:t>
      </w:r>
    </w:p>
    <w:p w14:paraId="1706D694" w14:textId="028D0A20" w:rsidR="00272062" w:rsidRPr="006E3CAB" w:rsidRDefault="00272062" w:rsidP="00D368C9">
      <w:pPr>
        <w:pStyle w:val="Liste"/>
        <w:numPr>
          <w:ilvl w:val="0"/>
          <w:numId w:val="17"/>
        </w:numPr>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de condamner l’OTW au paiement d’une indemnité de 21.615,93 € provisionnel correspondant à 6 mois de rémunération br</w:t>
      </w:r>
      <w:r w:rsidR="003035E2" w:rsidRPr="006E3CAB">
        <w:rPr>
          <w:rFonts w:asciiTheme="minorHAnsi" w:hAnsiTheme="minorHAnsi" w:cstheme="minorHAnsi"/>
          <w:bCs/>
          <w:sz w:val="22"/>
          <w:szCs w:val="22"/>
        </w:rPr>
        <w:t>ute à titre de dommages et intérêts, à majorer des intérêts ;</w:t>
      </w:r>
    </w:p>
    <w:p w14:paraId="22645D1A" w14:textId="1BD3FA1D" w:rsidR="003035E2" w:rsidRPr="006E3CAB" w:rsidRDefault="003035E2" w:rsidP="00D368C9">
      <w:pPr>
        <w:pStyle w:val="Liste"/>
        <w:numPr>
          <w:ilvl w:val="0"/>
          <w:numId w:val="17"/>
        </w:numPr>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de constater l’existence de faits de harcèlement moral au sens de l’article 32 ter de la loi du 4 août 1996 ;</w:t>
      </w:r>
    </w:p>
    <w:p w14:paraId="57586724" w14:textId="32EC5D5C" w:rsidR="003035E2" w:rsidRPr="006E3CAB" w:rsidRDefault="003035E2" w:rsidP="00D368C9">
      <w:pPr>
        <w:pStyle w:val="Liste"/>
        <w:numPr>
          <w:ilvl w:val="0"/>
          <w:numId w:val="17"/>
        </w:numPr>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d’ordonner la cessation de ces faits de harcèlement moral</w:t>
      </w:r>
      <w:r w:rsidR="00AC40C4" w:rsidRPr="006E3CAB">
        <w:rPr>
          <w:rFonts w:asciiTheme="minorHAnsi" w:hAnsiTheme="minorHAnsi" w:cstheme="minorHAnsi"/>
          <w:bCs/>
          <w:sz w:val="22"/>
          <w:szCs w:val="22"/>
        </w:rPr>
        <w:t> ;</w:t>
      </w:r>
    </w:p>
    <w:p w14:paraId="43B9001A" w14:textId="7359E347" w:rsidR="00AC40C4" w:rsidRPr="006E3CAB" w:rsidRDefault="00AC40C4" w:rsidP="00D368C9">
      <w:pPr>
        <w:pStyle w:val="Liste"/>
        <w:numPr>
          <w:ilvl w:val="0"/>
          <w:numId w:val="17"/>
        </w:numPr>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d’ordonner les mesures appropriées à définir en cours de procédure ;</w:t>
      </w:r>
    </w:p>
    <w:p w14:paraId="6F76DD87" w14:textId="77777777" w:rsidR="00AC40C4" w:rsidRPr="006E3CAB" w:rsidRDefault="00AC40C4" w:rsidP="00D368C9">
      <w:pPr>
        <w:pStyle w:val="Liste"/>
        <w:numPr>
          <w:ilvl w:val="0"/>
          <w:numId w:val="17"/>
        </w:numPr>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de condamner l’OTW au paiement d’une indemnité de 21.615,93 € provisionnel correspondant à 6 mois de rémunération brute à titre de dommages et intérêts, à majorer des intérêts ;</w:t>
      </w:r>
    </w:p>
    <w:p w14:paraId="3EA72BA9" w14:textId="0A767299" w:rsidR="00AC40C4" w:rsidRPr="006E3CAB" w:rsidRDefault="00AC40C4" w:rsidP="00D368C9">
      <w:pPr>
        <w:pStyle w:val="Liste"/>
        <w:numPr>
          <w:ilvl w:val="0"/>
          <w:numId w:val="17"/>
        </w:numPr>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de condamner la défenderesse aux dépens</w:t>
      </w:r>
      <w:r w:rsidR="00BF227A" w:rsidRPr="006E3CAB">
        <w:rPr>
          <w:rFonts w:asciiTheme="minorHAnsi" w:hAnsiTheme="minorHAnsi" w:cstheme="minorHAnsi"/>
          <w:bCs/>
          <w:sz w:val="22"/>
          <w:szCs w:val="22"/>
        </w:rPr>
        <w:t> ;</w:t>
      </w:r>
    </w:p>
    <w:p w14:paraId="77A2D508" w14:textId="74ACCEB9" w:rsidR="00BF227A" w:rsidRPr="006E3CAB" w:rsidRDefault="00BF227A" w:rsidP="00D368C9">
      <w:pPr>
        <w:pStyle w:val="Liste"/>
        <w:numPr>
          <w:ilvl w:val="0"/>
          <w:numId w:val="17"/>
        </w:numPr>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d’ordonner l’exécution provisoire du jugement à intervenir, sans caution ni cantonnement.</w:t>
      </w:r>
    </w:p>
    <w:p w14:paraId="62B7A834" w14:textId="77777777" w:rsidR="00BF227A" w:rsidRPr="006E3CAB" w:rsidRDefault="00BF227A" w:rsidP="00D368C9">
      <w:pPr>
        <w:pStyle w:val="Liste"/>
        <w:spacing w:before="100" w:beforeAutospacing="1" w:after="100" w:afterAutospacing="1"/>
        <w:ind w:left="720" w:firstLine="0"/>
        <w:contextualSpacing/>
        <w:jc w:val="both"/>
        <w:rPr>
          <w:rFonts w:asciiTheme="minorHAnsi" w:hAnsiTheme="minorHAnsi" w:cstheme="minorHAnsi"/>
          <w:bCs/>
          <w:sz w:val="22"/>
          <w:szCs w:val="22"/>
        </w:rPr>
      </w:pPr>
    </w:p>
    <w:p w14:paraId="2C5991CA" w14:textId="77777777" w:rsidR="00F32A0E" w:rsidRPr="006E3CAB" w:rsidRDefault="00F32A0E" w:rsidP="00D368C9">
      <w:pPr>
        <w:pStyle w:val="Liste"/>
        <w:spacing w:before="100" w:beforeAutospacing="1" w:after="100" w:afterAutospacing="1"/>
        <w:ind w:left="0" w:firstLine="0"/>
        <w:contextualSpacing/>
        <w:jc w:val="both"/>
        <w:rPr>
          <w:rFonts w:asciiTheme="minorHAnsi" w:hAnsiTheme="minorHAnsi" w:cstheme="minorHAnsi"/>
          <w:bCs/>
          <w:sz w:val="22"/>
          <w:szCs w:val="22"/>
          <w:highlight w:val="yellow"/>
        </w:rPr>
      </w:pPr>
    </w:p>
    <w:p w14:paraId="4490D0F0" w14:textId="4DF3FE66" w:rsidR="00B5732D" w:rsidRPr="006E3CAB" w:rsidRDefault="00B5732D" w:rsidP="00D368C9">
      <w:pPr>
        <w:pStyle w:val="Liste"/>
        <w:spacing w:before="100" w:beforeAutospacing="1" w:after="100" w:afterAutospacing="1"/>
        <w:ind w:left="0" w:firstLine="0"/>
        <w:contextualSpacing/>
        <w:jc w:val="both"/>
        <w:rPr>
          <w:rFonts w:asciiTheme="minorHAnsi" w:hAnsiTheme="minorHAnsi" w:cstheme="minorHAnsi"/>
          <w:b/>
          <w:sz w:val="22"/>
          <w:szCs w:val="22"/>
          <w:u w:val="single"/>
        </w:rPr>
      </w:pPr>
      <w:r w:rsidRPr="006E3CAB">
        <w:rPr>
          <w:rFonts w:asciiTheme="minorHAnsi" w:hAnsiTheme="minorHAnsi" w:cstheme="minorHAnsi"/>
          <w:b/>
          <w:sz w:val="22"/>
          <w:szCs w:val="22"/>
          <w:u w:val="single"/>
        </w:rPr>
        <w:t>Thèse</w:t>
      </w:r>
      <w:r w:rsidR="004551E3" w:rsidRPr="006E3CAB">
        <w:rPr>
          <w:rFonts w:asciiTheme="minorHAnsi" w:hAnsiTheme="minorHAnsi" w:cstheme="minorHAnsi"/>
          <w:b/>
          <w:sz w:val="22"/>
          <w:szCs w:val="22"/>
          <w:u w:val="single"/>
        </w:rPr>
        <w:t xml:space="preserve"> de l’</w:t>
      </w:r>
      <w:r w:rsidRPr="006E3CAB">
        <w:rPr>
          <w:rFonts w:asciiTheme="minorHAnsi" w:hAnsiTheme="minorHAnsi" w:cstheme="minorHAnsi"/>
          <w:b/>
          <w:sz w:val="22"/>
          <w:szCs w:val="22"/>
          <w:u w:val="single"/>
        </w:rPr>
        <w:t xml:space="preserve"> OTW</w:t>
      </w:r>
    </w:p>
    <w:p w14:paraId="612BBF0C" w14:textId="77777777" w:rsidR="00954339" w:rsidRPr="006E3CAB" w:rsidRDefault="00954339"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291D89D5" w14:textId="77777777" w:rsidR="007471A2" w:rsidRDefault="00954339"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Par ses conclusions de synthèse, l’OT</w:t>
      </w:r>
      <w:r w:rsidR="007471A2" w:rsidRPr="006E3CAB">
        <w:rPr>
          <w:rFonts w:asciiTheme="minorHAnsi" w:hAnsiTheme="minorHAnsi" w:cstheme="minorHAnsi"/>
          <w:bCs/>
          <w:sz w:val="22"/>
          <w:szCs w:val="22"/>
        </w:rPr>
        <w:t>W sollicite du tribunal :</w:t>
      </w:r>
    </w:p>
    <w:p w14:paraId="61CFF537" w14:textId="77777777" w:rsidR="003153C8" w:rsidRPr="006E3CAB" w:rsidRDefault="003153C8"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3BD8B742" w14:textId="77777777" w:rsidR="00F63058" w:rsidRPr="006E3CAB" w:rsidRDefault="007471A2" w:rsidP="00D368C9">
      <w:pPr>
        <w:pStyle w:val="Liste"/>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u w:val="single"/>
        </w:rPr>
        <w:t>A titre principal</w:t>
      </w:r>
      <w:r w:rsidRPr="006E3CAB">
        <w:rPr>
          <w:rFonts w:asciiTheme="minorHAnsi" w:hAnsiTheme="minorHAnsi" w:cstheme="minorHAnsi"/>
          <w:bCs/>
          <w:sz w:val="22"/>
          <w:szCs w:val="22"/>
        </w:rPr>
        <w:t>, de se déclarer incompétent territorialement</w:t>
      </w:r>
      <w:r w:rsidR="0078354C" w:rsidRPr="006E3CAB">
        <w:rPr>
          <w:rFonts w:asciiTheme="minorHAnsi" w:hAnsiTheme="minorHAnsi" w:cstheme="minorHAnsi"/>
          <w:bCs/>
          <w:sz w:val="22"/>
          <w:szCs w:val="22"/>
        </w:rPr>
        <w:t xml:space="preserve">, et renvoyer l’affaire devant le président </w:t>
      </w:r>
    </w:p>
    <w:p w14:paraId="613B3096" w14:textId="12A0BF54" w:rsidR="0078354C" w:rsidRDefault="0078354C" w:rsidP="00D368C9">
      <w:pPr>
        <w:pStyle w:val="Liste"/>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du tribunal du travail du Brabant wallon ;</w:t>
      </w:r>
    </w:p>
    <w:p w14:paraId="409D5470" w14:textId="77777777" w:rsidR="00D368C9" w:rsidRPr="006E3CAB" w:rsidRDefault="00D368C9" w:rsidP="00D368C9">
      <w:pPr>
        <w:pStyle w:val="Liste"/>
        <w:spacing w:before="100" w:beforeAutospacing="1" w:after="100" w:afterAutospacing="1"/>
        <w:contextualSpacing/>
        <w:jc w:val="both"/>
        <w:rPr>
          <w:rFonts w:asciiTheme="minorHAnsi" w:hAnsiTheme="minorHAnsi" w:cstheme="minorHAnsi"/>
          <w:bCs/>
          <w:sz w:val="22"/>
          <w:szCs w:val="22"/>
        </w:rPr>
      </w:pPr>
    </w:p>
    <w:p w14:paraId="075053DC" w14:textId="3906C97A" w:rsidR="00B5732D" w:rsidRPr="006E3CAB" w:rsidRDefault="0078354C" w:rsidP="00D368C9">
      <w:pPr>
        <w:pStyle w:val="Liste"/>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u w:val="single"/>
        </w:rPr>
        <w:t>A titre subsidiai</w:t>
      </w:r>
      <w:r w:rsidR="00945FD9" w:rsidRPr="006E3CAB">
        <w:rPr>
          <w:rFonts w:asciiTheme="minorHAnsi" w:hAnsiTheme="minorHAnsi" w:cstheme="minorHAnsi"/>
          <w:bCs/>
          <w:sz w:val="22"/>
          <w:szCs w:val="22"/>
          <w:u w:val="single"/>
        </w:rPr>
        <w:t>r</w:t>
      </w:r>
      <w:r w:rsidRPr="006E3CAB">
        <w:rPr>
          <w:rFonts w:asciiTheme="minorHAnsi" w:hAnsiTheme="minorHAnsi" w:cstheme="minorHAnsi"/>
          <w:bCs/>
          <w:sz w:val="22"/>
          <w:szCs w:val="22"/>
          <w:u w:val="single"/>
        </w:rPr>
        <w:t>e</w:t>
      </w:r>
      <w:r w:rsidR="00945FD9" w:rsidRPr="006E3CAB">
        <w:rPr>
          <w:rFonts w:asciiTheme="minorHAnsi" w:hAnsiTheme="minorHAnsi" w:cstheme="minorHAnsi"/>
          <w:bCs/>
          <w:sz w:val="22"/>
          <w:szCs w:val="22"/>
        </w:rPr>
        <w:t xml:space="preserve">, de dire l’action de Monsieur </w:t>
      </w:r>
      <w:r w:rsidR="00AC7907">
        <w:rPr>
          <w:rFonts w:asciiTheme="minorHAnsi" w:hAnsiTheme="minorHAnsi" w:cstheme="minorHAnsi"/>
          <w:sz w:val="22"/>
          <w:szCs w:val="22"/>
          <w:lang w:val="fr-BE" w:eastAsia="fr-BE"/>
        </w:rPr>
        <w:t>P</w:t>
      </w:r>
      <w:r w:rsidR="00945FD9" w:rsidRPr="006E3CAB">
        <w:rPr>
          <w:rFonts w:asciiTheme="minorHAnsi" w:hAnsiTheme="minorHAnsi" w:cstheme="minorHAnsi"/>
          <w:bCs/>
          <w:sz w:val="22"/>
          <w:szCs w:val="22"/>
        </w:rPr>
        <w:t xml:space="preserve"> et d’UNIA non fondée ou devenue sans objet</w:t>
      </w:r>
      <w:r w:rsidR="00F26C9A" w:rsidRPr="006E3CAB">
        <w:rPr>
          <w:rFonts w:asciiTheme="minorHAnsi" w:hAnsiTheme="minorHAnsi" w:cstheme="minorHAnsi"/>
          <w:bCs/>
          <w:sz w:val="22"/>
          <w:szCs w:val="22"/>
        </w:rPr>
        <w:t> ;</w:t>
      </w:r>
    </w:p>
    <w:p w14:paraId="3E36909F" w14:textId="4382C901" w:rsidR="00F26C9A" w:rsidRDefault="00F26C9A"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En conséquence, condamner Monsieur </w:t>
      </w:r>
      <w:r w:rsidR="00AC7907">
        <w:rPr>
          <w:rFonts w:asciiTheme="minorHAnsi" w:hAnsiTheme="minorHAnsi" w:cstheme="minorHAnsi"/>
          <w:sz w:val="22"/>
          <w:szCs w:val="22"/>
          <w:lang w:val="fr-BE" w:eastAsia="fr-BE"/>
        </w:rPr>
        <w:t>P</w:t>
      </w:r>
      <w:r w:rsidR="00016C0E" w:rsidRPr="006E3CAB">
        <w:rPr>
          <w:rFonts w:asciiTheme="minorHAnsi" w:hAnsiTheme="minorHAnsi" w:cstheme="minorHAnsi"/>
          <w:bCs/>
          <w:sz w:val="22"/>
          <w:szCs w:val="22"/>
        </w:rPr>
        <w:t xml:space="preserve"> </w:t>
      </w:r>
      <w:r w:rsidRPr="006E3CAB">
        <w:rPr>
          <w:rFonts w:asciiTheme="minorHAnsi" w:hAnsiTheme="minorHAnsi" w:cstheme="minorHAnsi"/>
          <w:bCs/>
          <w:sz w:val="22"/>
          <w:szCs w:val="22"/>
        </w:rPr>
        <w:t>et UNIA à payer les frais et dépens de la procédure</w:t>
      </w:r>
      <w:r w:rsidR="0074632E" w:rsidRPr="006E3CAB">
        <w:rPr>
          <w:rFonts w:asciiTheme="minorHAnsi" w:hAnsiTheme="minorHAnsi" w:cstheme="minorHAnsi"/>
          <w:bCs/>
          <w:sz w:val="22"/>
          <w:szCs w:val="22"/>
        </w:rPr>
        <w:t xml:space="preserve"> liquidée dans le chef de l’OTW à 1.800 € à charge de Monsieur </w:t>
      </w:r>
      <w:r w:rsidR="00AC7907">
        <w:rPr>
          <w:rFonts w:asciiTheme="minorHAnsi" w:hAnsiTheme="minorHAnsi" w:cstheme="minorHAnsi"/>
          <w:sz w:val="22"/>
          <w:szCs w:val="22"/>
          <w:lang w:val="fr-BE" w:eastAsia="fr-BE"/>
        </w:rPr>
        <w:t>P</w:t>
      </w:r>
      <w:r w:rsidR="0074632E" w:rsidRPr="006E3CAB">
        <w:rPr>
          <w:rFonts w:asciiTheme="minorHAnsi" w:hAnsiTheme="minorHAnsi" w:cstheme="minorHAnsi"/>
          <w:bCs/>
          <w:sz w:val="22"/>
          <w:szCs w:val="22"/>
        </w:rPr>
        <w:t xml:space="preserve"> et de 1.800 € à charge d’UNIA ;</w:t>
      </w:r>
    </w:p>
    <w:p w14:paraId="6A6D4FD9" w14:textId="77777777" w:rsidR="00D368C9" w:rsidRPr="006E3CAB" w:rsidRDefault="00D368C9"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55DC9153" w14:textId="64BFC39A" w:rsidR="00F63058" w:rsidRPr="006E3CAB" w:rsidRDefault="004459FB" w:rsidP="00D368C9">
      <w:pPr>
        <w:pStyle w:val="Liste"/>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u w:val="single"/>
        </w:rPr>
        <w:t>A titre plus subsidiaire</w:t>
      </w:r>
      <w:r w:rsidRPr="006E3CAB">
        <w:rPr>
          <w:rFonts w:asciiTheme="minorHAnsi" w:hAnsiTheme="minorHAnsi" w:cstheme="minorHAnsi"/>
          <w:bCs/>
          <w:sz w:val="22"/>
          <w:szCs w:val="22"/>
        </w:rPr>
        <w:t xml:space="preserve">, limiter l’indemnisation forfaitaire du préjudice de Monsieur </w:t>
      </w:r>
      <w:r w:rsidR="00AC7907">
        <w:rPr>
          <w:rFonts w:asciiTheme="minorHAnsi" w:hAnsiTheme="minorHAnsi" w:cstheme="minorHAnsi"/>
          <w:sz w:val="22"/>
          <w:szCs w:val="22"/>
          <w:lang w:val="fr-BE" w:eastAsia="fr-BE"/>
        </w:rPr>
        <w:t>P</w:t>
      </w:r>
      <w:r w:rsidRPr="006E3CAB">
        <w:rPr>
          <w:rFonts w:asciiTheme="minorHAnsi" w:hAnsiTheme="minorHAnsi" w:cstheme="minorHAnsi"/>
          <w:bCs/>
          <w:sz w:val="22"/>
          <w:szCs w:val="22"/>
        </w:rPr>
        <w:t xml:space="preserve"> </w:t>
      </w:r>
    </w:p>
    <w:p w14:paraId="48D2EE4C" w14:textId="03FB2C3B" w:rsidR="0074632E" w:rsidRPr="006E3CAB" w:rsidRDefault="005B53B1" w:rsidP="00D368C9">
      <w:pPr>
        <w:pStyle w:val="Liste"/>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pour discrimination à 3 mois de rémunération brute ;</w:t>
      </w:r>
    </w:p>
    <w:p w14:paraId="5FFB8B72" w14:textId="7B0C153A" w:rsidR="005B53B1" w:rsidRPr="006E3CAB" w:rsidRDefault="003A086D"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Débouter Monsieur </w:t>
      </w:r>
      <w:r w:rsidR="00AC7907">
        <w:rPr>
          <w:rFonts w:asciiTheme="minorHAnsi" w:hAnsiTheme="minorHAnsi" w:cstheme="minorHAnsi"/>
          <w:sz w:val="22"/>
          <w:szCs w:val="22"/>
          <w:lang w:val="fr-BE" w:eastAsia="fr-BE"/>
        </w:rPr>
        <w:t>P</w:t>
      </w:r>
      <w:r w:rsidRPr="006E3CAB">
        <w:rPr>
          <w:rFonts w:asciiTheme="minorHAnsi" w:hAnsiTheme="minorHAnsi" w:cstheme="minorHAnsi"/>
          <w:bCs/>
          <w:sz w:val="22"/>
          <w:szCs w:val="22"/>
        </w:rPr>
        <w:t xml:space="preserve"> de sa demande tendant à l’obtention de dommages et intérêts pour harcèlement ;</w:t>
      </w:r>
    </w:p>
    <w:p w14:paraId="5AD769E8" w14:textId="78E96875" w:rsidR="007B7F50" w:rsidRPr="006E3CAB" w:rsidRDefault="007B7F50"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Débouter UNIA de sa demande de dommages et intérêts ;</w:t>
      </w:r>
    </w:p>
    <w:p w14:paraId="5620E56F" w14:textId="3AC4F4E3" w:rsidR="007B7F50" w:rsidRPr="006E3CAB" w:rsidRDefault="007B7F50"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Refuser d’ordonner la publication et l’affic</w:t>
      </w:r>
      <w:r w:rsidR="000331A3" w:rsidRPr="006E3CAB">
        <w:rPr>
          <w:rFonts w:asciiTheme="minorHAnsi" w:hAnsiTheme="minorHAnsi" w:cstheme="minorHAnsi"/>
          <w:bCs/>
          <w:sz w:val="22"/>
          <w:szCs w:val="22"/>
        </w:rPr>
        <w:t>hage</w:t>
      </w:r>
      <w:r w:rsidRPr="006E3CAB">
        <w:rPr>
          <w:rFonts w:asciiTheme="minorHAnsi" w:hAnsiTheme="minorHAnsi" w:cstheme="minorHAnsi"/>
          <w:bCs/>
          <w:sz w:val="22"/>
          <w:szCs w:val="22"/>
        </w:rPr>
        <w:t xml:space="preserve"> de la décision à intervenir ;</w:t>
      </w:r>
    </w:p>
    <w:p w14:paraId="3906E5F1" w14:textId="4EDB387E" w:rsidR="007B7F50" w:rsidRPr="006E3CAB" w:rsidRDefault="007B7F50"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Refuser de prononcer </w:t>
      </w:r>
      <w:r w:rsidR="000331A3" w:rsidRPr="006E3CAB">
        <w:rPr>
          <w:rFonts w:asciiTheme="minorHAnsi" w:hAnsiTheme="minorHAnsi" w:cstheme="minorHAnsi"/>
          <w:bCs/>
          <w:sz w:val="22"/>
          <w:szCs w:val="22"/>
        </w:rPr>
        <w:t>une condamnation sous astreinte ;</w:t>
      </w:r>
    </w:p>
    <w:p w14:paraId="323AE186" w14:textId="374CC318" w:rsidR="000331A3" w:rsidRPr="006E3CAB" w:rsidRDefault="000331A3"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Dire que l’ordonnance à intervenir ne sera pas exécutoire par provision nonobstant tout rec</w:t>
      </w:r>
      <w:r w:rsidR="00A2336C" w:rsidRPr="006E3CAB">
        <w:rPr>
          <w:rFonts w:asciiTheme="minorHAnsi" w:hAnsiTheme="minorHAnsi" w:cstheme="minorHAnsi"/>
          <w:bCs/>
          <w:sz w:val="22"/>
          <w:szCs w:val="22"/>
        </w:rPr>
        <w:t>ours, ou, à titre infiniment subsidiaire, permettre à l’OTW de cantonner les sommes au paiement desquelles il serait condamné auprès de la Caisse de dépôts et consignations</w:t>
      </w:r>
      <w:r w:rsidR="004551E3" w:rsidRPr="006E3CAB">
        <w:rPr>
          <w:rFonts w:asciiTheme="minorHAnsi" w:hAnsiTheme="minorHAnsi" w:cstheme="minorHAnsi"/>
          <w:bCs/>
          <w:sz w:val="22"/>
          <w:szCs w:val="22"/>
        </w:rPr>
        <w:t>.</w:t>
      </w:r>
    </w:p>
    <w:p w14:paraId="2BCDC74D" w14:textId="77777777" w:rsidR="00B5732D" w:rsidRPr="006E3CAB" w:rsidRDefault="00B5732D" w:rsidP="00D368C9">
      <w:pPr>
        <w:pStyle w:val="Liste"/>
        <w:spacing w:before="100" w:beforeAutospacing="1" w:after="100" w:afterAutospacing="1"/>
        <w:ind w:left="0" w:firstLine="0"/>
        <w:contextualSpacing/>
        <w:jc w:val="both"/>
        <w:rPr>
          <w:rFonts w:asciiTheme="minorHAnsi" w:hAnsiTheme="minorHAnsi" w:cstheme="minorHAnsi"/>
          <w:bCs/>
          <w:sz w:val="22"/>
          <w:szCs w:val="22"/>
          <w:highlight w:val="yellow"/>
        </w:rPr>
      </w:pPr>
    </w:p>
    <w:p w14:paraId="2C5991CB" w14:textId="78A637B8" w:rsidR="00F32A0E" w:rsidRPr="006E3CAB" w:rsidRDefault="00B5732D" w:rsidP="00D368C9">
      <w:pPr>
        <w:pStyle w:val="Liste"/>
        <w:spacing w:before="100" w:beforeAutospacing="1" w:after="100" w:afterAutospacing="1"/>
        <w:ind w:left="0" w:firstLine="0"/>
        <w:contextualSpacing/>
        <w:jc w:val="both"/>
        <w:rPr>
          <w:rFonts w:asciiTheme="minorHAnsi" w:hAnsiTheme="minorHAnsi" w:cstheme="minorHAnsi"/>
          <w:b/>
          <w:sz w:val="22"/>
          <w:szCs w:val="22"/>
          <w:u w:val="single"/>
        </w:rPr>
      </w:pPr>
      <w:r w:rsidRPr="006E3CAB">
        <w:rPr>
          <w:rFonts w:asciiTheme="minorHAnsi" w:hAnsiTheme="minorHAnsi" w:cstheme="minorHAnsi"/>
          <w:b/>
          <w:sz w:val="22"/>
          <w:szCs w:val="22"/>
          <w:u w:val="single"/>
        </w:rPr>
        <w:t>Thèse UNIA</w:t>
      </w:r>
    </w:p>
    <w:p w14:paraId="71675CFF" w14:textId="77777777" w:rsidR="00B5732D" w:rsidRPr="006E3CAB" w:rsidRDefault="00B5732D" w:rsidP="00D368C9">
      <w:pPr>
        <w:pStyle w:val="Liste"/>
        <w:spacing w:before="100" w:beforeAutospacing="1" w:after="100" w:afterAutospacing="1"/>
        <w:ind w:left="0" w:firstLine="0"/>
        <w:contextualSpacing/>
        <w:jc w:val="both"/>
        <w:rPr>
          <w:rFonts w:asciiTheme="minorHAnsi" w:hAnsiTheme="minorHAnsi" w:cstheme="minorHAnsi"/>
          <w:bCs/>
          <w:sz w:val="22"/>
          <w:szCs w:val="22"/>
          <w:highlight w:val="yellow"/>
        </w:rPr>
      </w:pPr>
    </w:p>
    <w:p w14:paraId="63B577D4" w14:textId="0DAE74D5" w:rsidR="00B653CD" w:rsidRDefault="00B653CD"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Par ses conclusions , UNIA sollicite du tribunal de:</w:t>
      </w:r>
    </w:p>
    <w:p w14:paraId="3548420F" w14:textId="77777777" w:rsidR="0059373D" w:rsidRPr="006E3CAB" w:rsidRDefault="0059373D"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08D57D26" w14:textId="3D63ED22" w:rsidR="00B653CD" w:rsidRPr="006E3CAB" w:rsidRDefault="00B5732D" w:rsidP="00D368C9">
      <w:pPr>
        <w:pStyle w:val="Liste"/>
        <w:numPr>
          <w:ilvl w:val="0"/>
          <w:numId w:val="17"/>
        </w:numPr>
        <w:spacing w:before="100" w:beforeAutospacing="1" w:after="100" w:afterAutospacing="1"/>
        <w:contextualSpacing/>
        <w:jc w:val="both"/>
        <w:rPr>
          <w:rFonts w:asciiTheme="minorHAnsi" w:hAnsiTheme="minorHAnsi" w:cstheme="minorHAnsi"/>
          <w:sz w:val="22"/>
          <w:szCs w:val="22"/>
          <w:lang w:val="fr-BE" w:eastAsia="fr-BE"/>
        </w:rPr>
      </w:pPr>
      <w:r w:rsidRPr="006E3CAB">
        <w:rPr>
          <w:rFonts w:asciiTheme="minorHAnsi" w:hAnsiTheme="minorHAnsi" w:cstheme="minorHAnsi"/>
          <w:sz w:val="22"/>
          <w:szCs w:val="22"/>
          <w:lang w:val="fr-BE" w:eastAsia="fr-BE"/>
        </w:rPr>
        <w:t>Déclarer l’intervention volontaire formée par UNIA recevable et fondée</w:t>
      </w:r>
      <w:r w:rsidR="00306B60">
        <w:rPr>
          <w:rFonts w:asciiTheme="minorHAnsi" w:hAnsiTheme="minorHAnsi" w:cstheme="minorHAnsi"/>
          <w:sz w:val="22"/>
          <w:szCs w:val="22"/>
          <w:lang w:val="fr-BE" w:eastAsia="fr-BE"/>
        </w:rPr>
        <w:t> ;</w:t>
      </w:r>
    </w:p>
    <w:p w14:paraId="72986781" w14:textId="5ABB15F1" w:rsidR="00B653CD" w:rsidRPr="006E3CAB" w:rsidRDefault="00B5732D" w:rsidP="00D368C9">
      <w:pPr>
        <w:pStyle w:val="Liste"/>
        <w:numPr>
          <w:ilvl w:val="0"/>
          <w:numId w:val="17"/>
        </w:numPr>
        <w:spacing w:before="100" w:beforeAutospacing="1" w:after="100" w:afterAutospacing="1"/>
        <w:contextualSpacing/>
        <w:jc w:val="both"/>
        <w:rPr>
          <w:rFonts w:asciiTheme="minorHAnsi" w:hAnsiTheme="minorHAnsi" w:cstheme="minorHAnsi"/>
          <w:sz w:val="22"/>
          <w:szCs w:val="22"/>
          <w:lang w:val="fr-BE" w:eastAsia="fr-BE"/>
        </w:rPr>
      </w:pPr>
      <w:r w:rsidRPr="006E3CAB">
        <w:rPr>
          <w:rFonts w:asciiTheme="minorHAnsi" w:hAnsiTheme="minorHAnsi" w:cstheme="minorHAnsi"/>
          <w:sz w:val="22"/>
          <w:szCs w:val="22"/>
          <w:lang w:val="fr-BE" w:eastAsia="fr-BE"/>
        </w:rPr>
        <w:t>En conséquence,</w:t>
      </w:r>
      <w:r w:rsidR="00B653CD" w:rsidRPr="006E3CAB">
        <w:rPr>
          <w:rFonts w:asciiTheme="minorHAnsi" w:hAnsiTheme="minorHAnsi" w:cstheme="minorHAnsi"/>
          <w:sz w:val="22"/>
          <w:szCs w:val="22"/>
          <w:lang w:val="fr-BE" w:eastAsia="fr-BE"/>
        </w:rPr>
        <w:t xml:space="preserve"> </w:t>
      </w:r>
      <w:r w:rsidR="00306B60">
        <w:rPr>
          <w:rFonts w:asciiTheme="minorHAnsi" w:hAnsiTheme="minorHAnsi" w:cstheme="minorHAnsi"/>
          <w:sz w:val="22"/>
          <w:szCs w:val="22"/>
          <w:lang w:val="fr-BE" w:eastAsia="fr-BE"/>
        </w:rPr>
        <w:t>d</w:t>
      </w:r>
      <w:r w:rsidRPr="006E3CAB">
        <w:rPr>
          <w:rFonts w:asciiTheme="minorHAnsi" w:hAnsiTheme="minorHAnsi" w:cstheme="minorHAnsi"/>
          <w:sz w:val="22"/>
          <w:szCs w:val="22"/>
          <w:lang w:val="fr-BE" w:eastAsia="fr-BE"/>
        </w:rPr>
        <w:t>éclarer</w:t>
      </w:r>
      <w:r w:rsidR="00B653CD"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 xml:space="preserve">les demandes de Monsieur </w:t>
      </w:r>
      <w:r w:rsidR="00AC7907">
        <w:rPr>
          <w:rFonts w:asciiTheme="minorHAnsi" w:hAnsiTheme="minorHAnsi" w:cstheme="minorHAnsi"/>
          <w:sz w:val="22"/>
          <w:szCs w:val="22"/>
          <w:lang w:val="fr-BE" w:eastAsia="fr-BE"/>
        </w:rPr>
        <w:t>P</w:t>
      </w:r>
      <w:r w:rsidRPr="006E3CAB">
        <w:rPr>
          <w:rFonts w:asciiTheme="minorHAnsi" w:hAnsiTheme="minorHAnsi" w:cstheme="minorHAnsi"/>
          <w:sz w:val="22"/>
          <w:szCs w:val="22"/>
          <w:lang w:val="fr-BE" w:eastAsia="fr-BE"/>
        </w:rPr>
        <w:t xml:space="preserve"> en matière de discrimination fondées</w:t>
      </w:r>
      <w:r w:rsidR="00B653CD"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et, partant:</w:t>
      </w:r>
    </w:p>
    <w:p w14:paraId="3B0BEEE1" w14:textId="334C986A" w:rsidR="00B653CD" w:rsidRPr="006E3CAB" w:rsidRDefault="00B5732D" w:rsidP="00D368C9">
      <w:pPr>
        <w:pStyle w:val="Liste"/>
        <w:numPr>
          <w:ilvl w:val="0"/>
          <w:numId w:val="17"/>
        </w:numPr>
        <w:spacing w:before="100" w:beforeAutospacing="1" w:after="100" w:afterAutospacing="1"/>
        <w:contextualSpacing/>
        <w:jc w:val="both"/>
        <w:rPr>
          <w:rFonts w:asciiTheme="minorHAnsi" w:hAnsiTheme="minorHAnsi" w:cstheme="minorHAnsi"/>
          <w:sz w:val="22"/>
          <w:szCs w:val="22"/>
          <w:lang w:val="fr-BE" w:eastAsia="fr-BE"/>
        </w:rPr>
      </w:pPr>
      <w:r w:rsidRPr="006E3CAB">
        <w:rPr>
          <w:rFonts w:asciiTheme="minorHAnsi" w:hAnsiTheme="minorHAnsi" w:cstheme="minorHAnsi"/>
          <w:sz w:val="22"/>
          <w:szCs w:val="22"/>
          <w:lang w:val="fr-BE" w:eastAsia="fr-BE"/>
        </w:rPr>
        <w:t>constater</w:t>
      </w:r>
      <w:r w:rsidR="00B653CD"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l’existence d’une discrimination;</w:t>
      </w:r>
    </w:p>
    <w:p w14:paraId="42B675F1" w14:textId="46A0A9C0" w:rsidR="00B653CD" w:rsidRPr="006E3CAB" w:rsidRDefault="00B5732D" w:rsidP="00D368C9">
      <w:pPr>
        <w:pStyle w:val="Liste"/>
        <w:numPr>
          <w:ilvl w:val="0"/>
          <w:numId w:val="17"/>
        </w:numPr>
        <w:spacing w:before="100" w:beforeAutospacing="1" w:after="100" w:afterAutospacing="1"/>
        <w:contextualSpacing/>
        <w:jc w:val="both"/>
        <w:rPr>
          <w:rFonts w:asciiTheme="minorHAnsi" w:hAnsiTheme="minorHAnsi" w:cstheme="minorHAnsi"/>
          <w:sz w:val="22"/>
          <w:szCs w:val="22"/>
          <w:lang w:val="fr-BE" w:eastAsia="fr-BE"/>
        </w:rPr>
      </w:pPr>
      <w:r w:rsidRPr="006E3CAB">
        <w:rPr>
          <w:rFonts w:asciiTheme="minorHAnsi" w:hAnsiTheme="minorHAnsi" w:cstheme="minorHAnsi"/>
          <w:sz w:val="22"/>
          <w:szCs w:val="22"/>
          <w:lang w:val="fr-BE" w:eastAsia="fr-BE"/>
        </w:rPr>
        <w:t>ordonner</w:t>
      </w:r>
      <w:r w:rsidR="00B653CD"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la cessation de cette discrimination</w:t>
      </w:r>
      <w:r w:rsidR="00B653CD"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 xml:space="preserve">et, dès lors, qu’il soit fait droit à la demande de mi-temps médical de Monsieur </w:t>
      </w:r>
      <w:r w:rsidR="00AC7907">
        <w:rPr>
          <w:rFonts w:asciiTheme="minorHAnsi" w:hAnsiTheme="minorHAnsi" w:cstheme="minorHAnsi"/>
          <w:sz w:val="22"/>
          <w:szCs w:val="22"/>
          <w:lang w:val="fr-BE" w:eastAsia="fr-BE"/>
        </w:rPr>
        <w:t>P</w:t>
      </w:r>
      <w:r w:rsidRPr="006E3CAB">
        <w:rPr>
          <w:rFonts w:asciiTheme="minorHAnsi" w:hAnsiTheme="minorHAnsi" w:cstheme="minorHAnsi"/>
          <w:sz w:val="22"/>
          <w:szCs w:val="22"/>
          <w:lang w:val="fr-BE" w:eastAsia="fr-BE"/>
        </w:rPr>
        <w:t xml:space="preserve"> tant que son handicap le justifiera;</w:t>
      </w:r>
    </w:p>
    <w:p w14:paraId="755C738B" w14:textId="4F5E3FAC" w:rsidR="00B653CD" w:rsidRPr="006E3CAB" w:rsidRDefault="00B5732D" w:rsidP="00D368C9">
      <w:pPr>
        <w:pStyle w:val="Liste"/>
        <w:numPr>
          <w:ilvl w:val="0"/>
          <w:numId w:val="17"/>
        </w:numPr>
        <w:spacing w:before="100" w:beforeAutospacing="1" w:after="100" w:afterAutospacing="1"/>
        <w:contextualSpacing/>
        <w:jc w:val="both"/>
        <w:rPr>
          <w:rFonts w:asciiTheme="minorHAnsi" w:hAnsiTheme="minorHAnsi" w:cstheme="minorHAnsi"/>
          <w:sz w:val="22"/>
          <w:szCs w:val="22"/>
          <w:lang w:val="fr-BE" w:eastAsia="fr-BE"/>
        </w:rPr>
      </w:pPr>
      <w:r w:rsidRPr="006E3CAB">
        <w:rPr>
          <w:rFonts w:asciiTheme="minorHAnsi" w:hAnsiTheme="minorHAnsi" w:cstheme="minorHAnsi"/>
          <w:sz w:val="22"/>
          <w:szCs w:val="22"/>
          <w:lang w:val="fr-BE" w:eastAsia="fr-BE"/>
        </w:rPr>
        <w:t>condamner</w:t>
      </w:r>
      <w:r w:rsidR="00B653CD"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 xml:space="preserve">la </w:t>
      </w:r>
      <w:r w:rsidR="007228B5" w:rsidRPr="006E3CAB">
        <w:rPr>
          <w:rFonts w:asciiTheme="minorHAnsi" w:hAnsiTheme="minorHAnsi" w:cstheme="minorHAnsi"/>
          <w:sz w:val="22"/>
          <w:szCs w:val="22"/>
          <w:lang w:val="fr-BE" w:eastAsia="fr-BE"/>
        </w:rPr>
        <w:t>d</w:t>
      </w:r>
      <w:r w:rsidRPr="006E3CAB">
        <w:rPr>
          <w:rFonts w:asciiTheme="minorHAnsi" w:hAnsiTheme="minorHAnsi" w:cstheme="minorHAnsi"/>
          <w:sz w:val="22"/>
          <w:szCs w:val="22"/>
          <w:lang w:val="fr-BE" w:eastAsia="fr-BE"/>
        </w:rPr>
        <w:t>éfenderesse</w:t>
      </w:r>
      <w:r w:rsidR="00B653CD"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 xml:space="preserve">à verser à Monsieur </w:t>
      </w:r>
      <w:r w:rsidR="00AC7907">
        <w:rPr>
          <w:rFonts w:asciiTheme="minorHAnsi" w:hAnsiTheme="minorHAnsi" w:cstheme="minorHAnsi"/>
          <w:sz w:val="22"/>
          <w:szCs w:val="22"/>
          <w:lang w:val="fr-BE" w:eastAsia="fr-BE"/>
        </w:rPr>
        <w:t>P</w:t>
      </w:r>
      <w:r w:rsidR="00B653CD"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l’indemnité correspondant à six</w:t>
      </w:r>
      <w:r w:rsidR="00B653CD"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mois de rémunération brute</w:t>
      </w:r>
      <w:r w:rsidR="00B653CD"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qu’il réclame, à majorer des intérêts;</w:t>
      </w:r>
    </w:p>
    <w:p w14:paraId="2F5B744B" w14:textId="62892BCC" w:rsidR="00B653CD" w:rsidRPr="006E3CAB" w:rsidRDefault="00B5732D" w:rsidP="00D368C9">
      <w:pPr>
        <w:pStyle w:val="Liste"/>
        <w:numPr>
          <w:ilvl w:val="0"/>
          <w:numId w:val="17"/>
        </w:numPr>
        <w:spacing w:before="100" w:beforeAutospacing="1" w:after="100" w:afterAutospacing="1"/>
        <w:contextualSpacing/>
        <w:jc w:val="both"/>
        <w:rPr>
          <w:rFonts w:asciiTheme="minorHAnsi" w:hAnsiTheme="minorHAnsi" w:cstheme="minorHAnsi"/>
          <w:sz w:val="22"/>
          <w:szCs w:val="22"/>
          <w:lang w:val="fr-BE" w:eastAsia="fr-BE"/>
        </w:rPr>
      </w:pPr>
      <w:r w:rsidRPr="006E3CAB">
        <w:rPr>
          <w:rFonts w:asciiTheme="minorHAnsi" w:hAnsiTheme="minorHAnsi" w:cstheme="minorHAnsi"/>
          <w:sz w:val="22"/>
          <w:szCs w:val="22"/>
          <w:lang w:val="fr-BE" w:eastAsia="fr-BE"/>
        </w:rPr>
        <w:t>Ordonner, sous peine d’astreinte de 500 €</w:t>
      </w:r>
      <w:r w:rsidR="00B653CD"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par jour de retard:</w:t>
      </w:r>
    </w:p>
    <w:p w14:paraId="2780CD74" w14:textId="262D0611" w:rsidR="00B653CD" w:rsidRPr="006E3CAB" w:rsidRDefault="00B653CD" w:rsidP="00D368C9">
      <w:pPr>
        <w:pStyle w:val="Liste"/>
        <w:numPr>
          <w:ilvl w:val="0"/>
          <w:numId w:val="17"/>
        </w:numPr>
        <w:spacing w:before="100" w:beforeAutospacing="1" w:after="100" w:afterAutospacing="1"/>
        <w:contextualSpacing/>
        <w:jc w:val="both"/>
        <w:rPr>
          <w:rFonts w:asciiTheme="minorHAnsi" w:hAnsiTheme="minorHAnsi" w:cstheme="minorHAnsi"/>
          <w:sz w:val="22"/>
          <w:szCs w:val="22"/>
          <w:lang w:val="fr-BE" w:eastAsia="fr-BE"/>
        </w:rPr>
      </w:pPr>
      <w:r w:rsidRPr="006E3CAB">
        <w:rPr>
          <w:rFonts w:asciiTheme="minorHAnsi" w:hAnsiTheme="minorHAnsi" w:cstheme="minorHAnsi"/>
          <w:sz w:val="22"/>
          <w:szCs w:val="22"/>
          <w:lang w:val="fr-BE" w:eastAsia="fr-BE"/>
        </w:rPr>
        <w:t>l</w:t>
      </w:r>
      <w:r w:rsidR="00B5732D" w:rsidRPr="006E3CAB">
        <w:rPr>
          <w:rFonts w:asciiTheme="minorHAnsi" w:hAnsiTheme="minorHAnsi" w:cstheme="minorHAnsi"/>
          <w:sz w:val="22"/>
          <w:szCs w:val="22"/>
          <w:lang w:val="fr-BE" w:eastAsia="fr-BE"/>
        </w:rPr>
        <w:t>a publication,</w:t>
      </w:r>
      <w:r w:rsidR="007228B5" w:rsidRPr="006E3CAB">
        <w:rPr>
          <w:rFonts w:asciiTheme="minorHAnsi" w:hAnsiTheme="minorHAnsi" w:cstheme="minorHAnsi"/>
          <w:sz w:val="22"/>
          <w:szCs w:val="22"/>
          <w:lang w:val="fr-BE" w:eastAsia="fr-BE"/>
        </w:rPr>
        <w:t xml:space="preserve"> </w:t>
      </w:r>
      <w:r w:rsidR="00B5732D" w:rsidRPr="006E3CAB">
        <w:rPr>
          <w:rFonts w:asciiTheme="minorHAnsi" w:hAnsiTheme="minorHAnsi" w:cstheme="minorHAnsi"/>
          <w:sz w:val="22"/>
          <w:szCs w:val="22"/>
          <w:lang w:val="fr-BE" w:eastAsia="fr-BE"/>
        </w:rPr>
        <w:t>aux frais de la défenderesse,</w:t>
      </w:r>
      <w:r w:rsidRPr="006E3CAB">
        <w:rPr>
          <w:rFonts w:asciiTheme="minorHAnsi" w:hAnsiTheme="minorHAnsi" w:cstheme="minorHAnsi"/>
          <w:sz w:val="22"/>
          <w:szCs w:val="22"/>
          <w:lang w:val="fr-BE" w:eastAsia="fr-BE"/>
        </w:rPr>
        <w:t xml:space="preserve"> </w:t>
      </w:r>
      <w:r w:rsidR="00B5732D" w:rsidRPr="006E3CAB">
        <w:rPr>
          <w:rFonts w:asciiTheme="minorHAnsi" w:hAnsiTheme="minorHAnsi" w:cstheme="minorHAnsi"/>
          <w:sz w:val="22"/>
          <w:szCs w:val="22"/>
          <w:lang w:val="fr-BE" w:eastAsia="fr-BE"/>
        </w:rPr>
        <w:t>de la décision à intervenir (ou,</w:t>
      </w:r>
      <w:r w:rsidR="007228B5" w:rsidRPr="006E3CAB">
        <w:rPr>
          <w:rFonts w:asciiTheme="minorHAnsi" w:hAnsiTheme="minorHAnsi" w:cstheme="minorHAnsi"/>
          <w:sz w:val="22"/>
          <w:szCs w:val="22"/>
          <w:lang w:val="fr-BE" w:eastAsia="fr-BE"/>
        </w:rPr>
        <w:t xml:space="preserve"> </w:t>
      </w:r>
      <w:r w:rsidR="00B5732D" w:rsidRPr="006E3CAB">
        <w:rPr>
          <w:rFonts w:asciiTheme="minorHAnsi" w:hAnsiTheme="minorHAnsi" w:cstheme="minorHAnsi"/>
          <w:sz w:val="22"/>
          <w:szCs w:val="22"/>
          <w:lang w:val="fr-BE" w:eastAsia="fr-BE"/>
        </w:rPr>
        <w:t>à tout le moins,</w:t>
      </w:r>
      <w:r w:rsidR="007228B5" w:rsidRPr="006E3CAB">
        <w:rPr>
          <w:rFonts w:asciiTheme="minorHAnsi" w:hAnsiTheme="minorHAnsi" w:cstheme="minorHAnsi"/>
          <w:sz w:val="22"/>
          <w:szCs w:val="22"/>
          <w:lang w:val="fr-BE" w:eastAsia="fr-BE"/>
        </w:rPr>
        <w:t xml:space="preserve"> </w:t>
      </w:r>
      <w:r w:rsidR="00B5732D" w:rsidRPr="006E3CAB">
        <w:rPr>
          <w:rFonts w:asciiTheme="minorHAnsi" w:hAnsiTheme="minorHAnsi" w:cstheme="minorHAnsi"/>
          <w:sz w:val="22"/>
          <w:szCs w:val="22"/>
          <w:lang w:val="fr-BE" w:eastAsia="fr-BE"/>
        </w:rPr>
        <w:t xml:space="preserve">de la condamnation qu’elle contient en matière de discrimination), dans le mois de sa signification, dans trois journaux francophones, à savoir Le Soir, L’Avenir et Metro, et ce dans une écriture de même taille  que  celle  utilisée  pour  les  articles  desdits  journaux,  en  enlevant  les  données  personnelles relatives au </w:t>
      </w:r>
      <w:r w:rsidR="00A17FA8">
        <w:rPr>
          <w:rFonts w:asciiTheme="minorHAnsi" w:hAnsiTheme="minorHAnsi" w:cstheme="minorHAnsi"/>
          <w:sz w:val="22"/>
          <w:szCs w:val="22"/>
          <w:lang w:val="fr-BE" w:eastAsia="fr-BE"/>
        </w:rPr>
        <w:t xml:space="preserve">requérant </w:t>
      </w:r>
      <w:r w:rsidR="00B5732D" w:rsidRPr="006E3CAB">
        <w:rPr>
          <w:rFonts w:asciiTheme="minorHAnsi" w:hAnsiTheme="minorHAnsi" w:cstheme="minorHAnsi"/>
          <w:sz w:val="22"/>
          <w:szCs w:val="22"/>
          <w:lang w:val="fr-BE" w:eastAsia="fr-BE"/>
        </w:rPr>
        <w:t>;</w:t>
      </w:r>
    </w:p>
    <w:p w14:paraId="68623799" w14:textId="14B65793" w:rsidR="00B653CD" w:rsidRPr="006E3CAB" w:rsidRDefault="00B5732D" w:rsidP="00D368C9">
      <w:pPr>
        <w:pStyle w:val="Liste"/>
        <w:numPr>
          <w:ilvl w:val="0"/>
          <w:numId w:val="17"/>
        </w:numPr>
        <w:spacing w:before="100" w:beforeAutospacing="1" w:after="100" w:afterAutospacing="1"/>
        <w:contextualSpacing/>
        <w:jc w:val="both"/>
        <w:rPr>
          <w:rFonts w:asciiTheme="minorHAnsi" w:hAnsiTheme="minorHAnsi" w:cstheme="minorHAnsi"/>
          <w:sz w:val="22"/>
          <w:szCs w:val="22"/>
          <w:lang w:val="fr-BE" w:eastAsia="fr-BE"/>
        </w:rPr>
      </w:pPr>
      <w:r w:rsidRPr="006E3CAB">
        <w:rPr>
          <w:rFonts w:asciiTheme="minorHAnsi" w:hAnsiTheme="minorHAnsi" w:cstheme="minorHAnsi"/>
          <w:sz w:val="22"/>
          <w:szCs w:val="22"/>
          <w:lang w:val="fr-BE" w:eastAsia="fr-BE"/>
        </w:rPr>
        <w:t>l’affichage de la décision à intervenir (ou,</w:t>
      </w:r>
      <w:r w:rsidR="00B653CD"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à tout le moins,</w:t>
      </w:r>
      <w:r w:rsidR="00B653CD"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de la condamnation qu’elle contient en matière  de discrimination),  dans  le mois de sa signification  et  durant</w:t>
      </w:r>
      <w:r w:rsidR="00B653CD"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 xml:space="preserve">une période d’au moins six mois, dans le dépôt dont dépend le </w:t>
      </w:r>
      <w:r w:rsidR="00FB4541">
        <w:rPr>
          <w:rFonts w:asciiTheme="minorHAnsi" w:hAnsiTheme="minorHAnsi" w:cstheme="minorHAnsi"/>
          <w:sz w:val="22"/>
          <w:szCs w:val="22"/>
          <w:lang w:val="fr-BE" w:eastAsia="fr-BE"/>
        </w:rPr>
        <w:t>requérant</w:t>
      </w:r>
      <w:r w:rsidRPr="006E3CAB">
        <w:rPr>
          <w:rFonts w:asciiTheme="minorHAnsi" w:hAnsiTheme="minorHAnsi" w:cstheme="minorHAnsi"/>
          <w:sz w:val="22"/>
          <w:szCs w:val="22"/>
          <w:lang w:val="fr-BE" w:eastAsia="fr-BE"/>
        </w:rPr>
        <w:t xml:space="preserve">, à un endroit clairement visible pour les travailleurs, en enlevant les données personnelles relatives au </w:t>
      </w:r>
      <w:r w:rsidR="00FB4541">
        <w:rPr>
          <w:rFonts w:asciiTheme="minorHAnsi" w:hAnsiTheme="minorHAnsi" w:cstheme="minorHAnsi"/>
          <w:sz w:val="22"/>
          <w:szCs w:val="22"/>
          <w:lang w:val="fr-BE" w:eastAsia="fr-BE"/>
        </w:rPr>
        <w:t xml:space="preserve">requérant </w:t>
      </w:r>
      <w:r w:rsidRPr="006E3CAB">
        <w:rPr>
          <w:rFonts w:asciiTheme="minorHAnsi" w:hAnsiTheme="minorHAnsi" w:cstheme="minorHAnsi"/>
          <w:sz w:val="22"/>
          <w:szCs w:val="22"/>
          <w:lang w:val="fr-BE" w:eastAsia="fr-BE"/>
        </w:rPr>
        <w:t>;</w:t>
      </w:r>
    </w:p>
    <w:p w14:paraId="1DF98B23" w14:textId="79CD6C7C" w:rsidR="00B653CD" w:rsidRPr="006E3CAB" w:rsidRDefault="00B5732D" w:rsidP="00D368C9">
      <w:pPr>
        <w:pStyle w:val="Liste"/>
        <w:numPr>
          <w:ilvl w:val="0"/>
          <w:numId w:val="17"/>
        </w:numPr>
        <w:spacing w:before="100" w:beforeAutospacing="1" w:after="100" w:afterAutospacing="1"/>
        <w:contextualSpacing/>
        <w:jc w:val="both"/>
        <w:rPr>
          <w:rFonts w:asciiTheme="minorHAnsi" w:hAnsiTheme="minorHAnsi" w:cstheme="minorHAnsi"/>
          <w:sz w:val="22"/>
          <w:szCs w:val="22"/>
          <w:lang w:val="fr-BE" w:eastAsia="fr-BE"/>
        </w:rPr>
      </w:pPr>
      <w:r w:rsidRPr="006E3CAB">
        <w:rPr>
          <w:rFonts w:asciiTheme="minorHAnsi" w:hAnsiTheme="minorHAnsi" w:cstheme="minorHAnsi"/>
          <w:sz w:val="22"/>
          <w:szCs w:val="22"/>
          <w:lang w:val="fr-BE" w:eastAsia="fr-BE"/>
        </w:rPr>
        <w:t>Condamner</w:t>
      </w:r>
      <w:r w:rsidR="00B653CD" w:rsidRPr="006E3CAB">
        <w:rPr>
          <w:rFonts w:asciiTheme="minorHAnsi" w:hAnsiTheme="minorHAnsi" w:cstheme="minorHAnsi"/>
          <w:sz w:val="22"/>
          <w:szCs w:val="22"/>
          <w:lang w:val="fr-BE" w:eastAsia="fr-BE"/>
        </w:rPr>
        <w:t xml:space="preserve"> l</w:t>
      </w:r>
      <w:r w:rsidRPr="006E3CAB">
        <w:rPr>
          <w:rFonts w:asciiTheme="minorHAnsi" w:hAnsiTheme="minorHAnsi" w:cstheme="minorHAnsi"/>
          <w:sz w:val="22"/>
          <w:szCs w:val="22"/>
          <w:lang w:val="fr-BE" w:eastAsia="fr-BE"/>
        </w:rPr>
        <w:t>a défenderesse</w:t>
      </w:r>
      <w:r w:rsidR="00B653CD"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 xml:space="preserve">à verser </w:t>
      </w:r>
      <w:r w:rsidR="00B653CD" w:rsidRPr="006E3CAB">
        <w:rPr>
          <w:rFonts w:asciiTheme="minorHAnsi" w:hAnsiTheme="minorHAnsi" w:cstheme="minorHAnsi"/>
          <w:sz w:val="22"/>
          <w:szCs w:val="22"/>
          <w:lang w:val="fr-BE" w:eastAsia="fr-BE"/>
        </w:rPr>
        <w:t>à UNIA</w:t>
      </w:r>
      <w:r w:rsidRPr="006E3CAB">
        <w:rPr>
          <w:rFonts w:asciiTheme="minorHAnsi" w:hAnsiTheme="minorHAnsi" w:cstheme="minorHAnsi"/>
          <w:sz w:val="22"/>
          <w:szCs w:val="22"/>
          <w:lang w:val="fr-BE" w:eastAsia="fr-BE"/>
        </w:rPr>
        <w:t xml:space="preserve"> un montant de 1.300 €au titre de dommages et intérêts, à majorer des intérêts judiciaires;</w:t>
      </w:r>
    </w:p>
    <w:p w14:paraId="2134A19E" w14:textId="16BA07E4" w:rsidR="00B5732D" w:rsidRDefault="00B5732D" w:rsidP="00D368C9">
      <w:pPr>
        <w:pStyle w:val="Liste"/>
        <w:numPr>
          <w:ilvl w:val="0"/>
          <w:numId w:val="17"/>
        </w:numPr>
        <w:spacing w:before="100" w:beforeAutospacing="1" w:after="100" w:afterAutospacing="1"/>
        <w:contextualSpacing/>
        <w:jc w:val="both"/>
        <w:rPr>
          <w:rFonts w:asciiTheme="minorHAnsi" w:hAnsiTheme="minorHAnsi" w:cstheme="minorHAnsi"/>
          <w:sz w:val="22"/>
          <w:szCs w:val="22"/>
          <w:lang w:val="fr-BE" w:eastAsia="fr-BE"/>
        </w:rPr>
      </w:pPr>
      <w:r w:rsidRPr="006E3CAB">
        <w:rPr>
          <w:rFonts w:asciiTheme="minorHAnsi" w:hAnsiTheme="minorHAnsi" w:cstheme="minorHAnsi"/>
          <w:sz w:val="22"/>
          <w:szCs w:val="22"/>
          <w:lang w:val="fr-BE" w:eastAsia="fr-BE"/>
        </w:rPr>
        <w:t>Condamner la défenderesse</w:t>
      </w:r>
      <w:r w:rsidR="00B653CD"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aux dépens, liquidés dans le chef d’UNIA à</w:t>
      </w:r>
      <w:r w:rsidR="00B653CD"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la somme de1.800€.</w:t>
      </w:r>
    </w:p>
    <w:p w14:paraId="1DC53B56" w14:textId="77777777" w:rsidR="00D368C9" w:rsidRDefault="00D368C9" w:rsidP="00D368C9">
      <w:pPr>
        <w:pStyle w:val="Liste"/>
        <w:spacing w:before="100" w:beforeAutospacing="1" w:after="100" w:afterAutospacing="1"/>
        <w:contextualSpacing/>
        <w:jc w:val="both"/>
        <w:rPr>
          <w:rFonts w:asciiTheme="minorHAnsi" w:hAnsiTheme="minorHAnsi" w:cstheme="minorHAnsi"/>
          <w:b/>
          <w:bCs/>
          <w:sz w:val="22"/>
          <w:szCs w:val="22"/>
          <w:u w:val="single"/>
        </w:rPr>
      </w:pPr>
    </w:p>
    <w:p w14:paraId="45A5CD07" w14:textId="77777777" w:rsidR="00D368C9" w:rsidRDefault="00D368C9" w:rsidP="00D368C9">
      <w:pPr>
        <w:pStyle w:val="Liste"/>
        <w:spacing w:before="100" w:beforeAutospacing="1" w:after="100" w:afterAutospacing="1"/>
        <w:contextualSpacing/>
        <w:jc w:val="both"/>
        <w:rPr>
          <w:rFonts w:asciiTheme="minorHAnsi" w:hAnsiTheme="minorHAnsi" w:cstheme="minorHAnsi"/>
          <w:b/>
          <w:bCs/>
          <w:sz w:val="22"/>
          <w:szCs w:val="22"/>
          <w:u w:val="single"/>
        </w:rPr>
      </w:pPr>
    </w:p>
    <w:p w14:paraId="3310F279" w14:textId="0115009D" w:rsidR="00660F5A" w:rsidRDefault="00E52FAC" w:rsidP="003A031B">
      <w:pPr>
        <w:pStyle w:val="Liste"/>
        <w:numPr>
          <w:ilvl w:val="0"/>
          <w:numId w:val="23"/>
        </w:numPr>
        <w:spacing w:before="100" w:beforeAutospacing="1" w:after="100" w:afterAutospacing="1"/>
        <w:contextualSpacing/>
        <w:jc w:val="both"/>
        <w:rPr>
          <w:rFonts w:asciiTheme="minorHAnsi" w:hAnsiTheme="minorHAnsi" w:cstheme="minorHAnsi"/>
          <w:b/>
          <w:bCs/>
          <w:sz w:val="22"/>
          <w:szCs w:val="22"/>
          <w:u w:val="single"/>
        </w:rPr>
      </w:pPr>
      <w:r w:rsidRPr="006E3CAB">
        <w:rPr>
          <w:rFonts w:asciiTheme="minorHAnsi" w:hAnsiTheme="minorHAnsi" w:cstheme="minorHAnsi"/>
          <w:b/>
          <w:bCs/>
          <w:sz w:val="22"/>
          <w:szCs w:val="22"/>
          <w:u w:val="single"/>
        </w:rPr>
        <w:t xml:space="preserve">COMPETENCE </w:t>
      </w:r>
    </w:p>
    <w:p w14:paraId="078A313B" w14:textId="77777777" w:rsidR="00660F5A" w:rsidRDefault="00660F5A" w:rsidP="00D368C9">
      <w:pPr>
        <w:pStyle w:val="Liste"/>
        <w:spacing w:before="100" w:beforeAutospacing="1" w:after="100" w:afterAutospacing="1"/>
        <w:contextualSpacing/>
        <w:jc w:val="both"/>
        <w:rPr>
          <w:rFonts w:asciiTheme="minorHAnsi" w:hAnsiTheme="minorHAnsi" w:cstheme="minorHAnsi"/>
          <w:b/>
          <w:bCs/>
          <w:sz w:val="22"/>
          <w:szCs w:val="22"/>
          <w:u w:val="single"/>
        </w:rPr>
      </w:pPr>
    </w:p>
    <w:p w14:paraId="0176DB23" w14:textId="183E4816" w:rsidR="00E52FAC" w:rsidRDefault="00660F5A" w:rsidP="00D368C9">
      <w:pPr>
        <w:pStyle w:val="Liste"/>
        <w:spacing w:before="100" w:beforeAutospacing="1" w:after="100" w:afterAutospacing="1"/>
        <w:contextualSpacing/>
        <w:jc w:val="both"/>
        <w:rPr>
          <w:rFonts w:asciiTheme="minorHAnsi" w:hAnsiTheme="minorHAnsi" w:cstheme="minorHAnsi"/>
          <w:b/>
          <w:bCs/>
          <w:sz w:val="22"/>
          <w:szCs w:val="22"/>
          <w:u w:val="single"/>
        </w:rPr>
      </w:pPr>
      <w:r>
        <w:rPr>
          <w:rFonts w:asciiTheme="minorHAnsi" w:hAnsiTheme="minorHAnsi" w:cstheme="minorHAnsi"/>
          <w:b/>
          <w:bCs/>
          <w:sz w:val="22"/>
          <w:szCs w:val="22"/>
          <w:u w:val="single"/>
        </w:rPr>
        <w:t>Compétence d’attribution</w:t>
      </w:r>
    </w:p>
    <w:p w14:paraId="0CB44E50" w14:textId="77777777" w:rsidR="00660F5A" w:rsidRPr="006E3CAB" w:rsidRDefault="00660F5A" w:rsidP="00D368C9">
      <w:pPr>
        <w:pStyle w:val="Liste"/>
        <w:spacing w:before="100" w:beforeAutospacing="1" w:after="100" w:afterAutospacing="1"/>
        <w:contextualSpacing/>
        <w:jc w:val="both"/>
        <w:rPr>
          <w:rFonts w:asciiTheme="minorHAnsi" w:hAnsiTheme="minorHAnsi" w:cstheme="minorHAnsi"/>
          <w:sz w:val="22"/>
          <w:szCs w:val="22"/>
          <w:highlight w:val="yellow"/>
        </w:rPr>
      </w:pPr>
    </w:p>
    <w:p w14:paraId="47C17534" w14:textId="77777777" w:rsidR="00E52FAC" w:rsidRPr="006E3CAB" w:rsidRDefault="00E52FAC"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Le président du tribunal du travail est compétent pour connaître de la cause en application de l’article 587 bis du code judiciaire</w:t>
      </w:r>
      <w:r w:rsidRPr="006E3CAB">
        <w:rPr>
          <w:rStyle w:val="Appelnotedebasdep"/>
          <w:rFonts w:asciiTheme="minorHAnsi" w:hAnsiTheme="minorHAnsi" w:cstheme="minorHAnsi"/>
          <w:sz w:val="22"/>
          <w:szCs w:val="22"/>
        </w:rPr>
        <w:footnoteReference w:id="1"/>
      </w:r>
      <w:r w:rsidRPr="006E3CAB">
        <w:rPr>
          <w:rFonts w:asciiTheme="minorHAnsi" w:hAnsiTheme="minorHAnsi" w:cstheme="minorHAnsi"/>
          <w:sz w:val="22"/>
          <w:szCs w:val="22"/>
        </w:rPr>
        <w:t>.</w:t>
      </w:r>
    </w:p>
    <w:p w14:paraId="63BA1B2A" w14:textId="77777777" w:rsidR="00E52FAC" w:rsidRPr="006E3CAB" w:rsidRDefault="00E52FAC"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75B1064D" w14:textId="426AEAE9" w:rsidR="00E52FAC" w:rsidRPr="006E3CAB" w:rsidRDefault="00E52FAC" w:rsidP="00D368C9">
      <w:pPr>
        <w:pStyle w:val="Liste"/>
        <w:spacing w:before="100" w:beforeAutospacing="1" w:after="100" w:afterAutospacing="1"/>
        <w:ind w:left="0" w:firstLine="0"/>
        <w:contextualSpacing/>
        <w:jc w:val="both"/>
        <w:rPr>
          <w:rFonts w:asciiTheme="minorHAnsi" w:hAnsiTheme="minorHAnsi" w:cstheme="minorHAnsi"/>
          <w:b/>
          <w:bCs/>
          <w:sz w:val="22"/>
          <w:szCs w:val="22"/>
          <w:u w:val="single"/>
        </w:rPr>
      </w:pPr>
      <w:r w:rsidRPr="006E3CAB">
        <w:rPr>
          <w:rFonts w:asciiTheme="minorHAnsi" w:hAnsiTheme="minorHAnsi" w:cstheme="minorHAnsi"/>
          <w:b/>
          <w:bCs/>
          <w:sz w:val="22"/>
          <w:szCs w:val="22"/>
          <w:u w:val="single"/>
        </w:rPr>
        <w:t>C</w:t>
      </w:r>
      <w:r w:rsidR="00660F5A">
        <w:rPr>
          <w:rFonts w:asciiTheme="minorHAnsi" w:hAnsiTheme="minorHAnsi" w:cstheme="minorHAnsi"/>
          <w:b/>
          <w:bCs/>
          <w:sz w:val="22"/>
          <w:szCs w:val="22"/>
          <w:u w:val="single"/>
        </w:rPr>
        <w:t>ompétence territoriale</w:t>
      </w:r>
    </w:p>
    <w:p w14:paraId="234BB554" w14:textId="77777777" w:rsidR="00E52FAC" w:rsidRPr="006E3CAB" w:rsidRDefault="00E52FAC"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2A782D03" w14:textId="5BAA416F" w:rsidR="00E52FAC" w:rsidRPr="006E3CAB" w:rsidRDefault="00E52FAC"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La pa</w:t>
      </w:r>
      <w:r w:rsidR="007228B5" w:rsidRPr="006E3CAB">
        <w:rPr>
          <w:rFonts w:asciiTheme="minorHAnsi" w:hAnsiTheme="minorHAnsi" w:cstheme="minorHAnsi"/>
          <w:sz w:val="22"/>
          <w:szCs w:val="22"/>
        </w:rPr>
        <w:t>r</w:t>
      </w:r>
      <w:r w:rsidRPr="006E3CAB">
        <w:rPr>
          <w:rFonts w:asciiTheme="minorHAnsi" w:hAnsiTheme="minorHAnsi" w:cstheme="minorHAnsi"/>
          <w:sz w:val="22"/>
          <w:szCs w:val="22"/>
        </w:rPr>
        <w:t>tie défenderesse soulève un moyen fondé sur la compétence territoriale.</w:t>
      </w:r>
    </w:p>
    <w:p w14:paraId="5F63893B" w14:textId="77777777" w:rsidR="00E52FAC" w:rsidRPr="006E3CAB" w:rsidRDefault="00E52FAC"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08947EAB" w14:textId="77777777" w:rsidR="00E52FAC" w:rsidRPr="006E3CAB" w:rsidRDefault="00E52FAC"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Elle demande le renvoi du dossier devant la président du tribunal du travail du Brabant wallon.</w:t>
      </w:r>
    </w:p>
    <w:p w14:paraId="43CC1E9E" w14:textId="77777777" w:rsidR="00E52FAC" w:rsidRPr="006E3CAB" w:rsidRDefault="00E52FAC"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328F51AE" w14:textId="6996A2D0" w:rsidR="00E52FAC" w:rsidRPr="006E3CAB" w:rsidRDefault="00E52FAC"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 xml:space="preserve">Monsieur </w:t>
      </w:r>
      <w:r w:rsidR="00AC7907">
        <w:rPr>
          <w:rFonts w:asciiTheme="minorHAnsi" w:hAnsiTheme="minorHAnsi" w:cstheme="minorHAnsi"/>
          <w:sz w:val="22"/>
          <w:szCs w:val="22"/>
        </w:rPr>
        <w:t>P</w:t>
      </w:r>
      <w:r w:rsidRPr="006E3CAB">
        <w:rPr>
          <w:rFonts w:asciiTheme="minorHAnsi" w:hAnsiTheme="minorHAnsi" w:cstheme="minorHAnsi"/>
          <w:sz w:val="22"/>
          <w:szCs w:val="22"/>
        </w:rPr>
        <w:t xml:space="preserve"> et UNIA considèrent en revanche que le président du tribunal du travail de Liège est compétent.</w:t>
      </w:r>
    </w:p>
    <w:p w14:paraId="3F3D412D" w14:textId="77777777" w:rsidR="00E52FAC" w:rsidRPr="006E3CAB" w:rsidRDefault="00E52FAC" w:rsidP="00D368C9">
      <w:pPr>
        <w:spacing w:before="100" w:beforeAutospacing="1" w:after="100" w:afterAutospacing="1" w:line="240" w:lineRule="auto"/>
        <w:contextualSpacing/>
        <w:jc w:val="both"/>
        <w:rPr>
          <w:rFonts w:cstheme="minorHAnsi"/>
          <w:bCs/>
          <w:lang w:val="fr-BE"/>
        </w:rPr>
      </w:pPr>
      <w:r w:rsidRPr="006E3CAB">
        <w:rPr>
          <w:rFonts w:cstheme="minorHAnsi"/>
          <w:bCs/>
          <w:lang w:val="fr-BE"/>
        </w:rPr>
        <w:t>L’article 627,9°, du Code judiciaire énonce que :</w:t>
      </w:r>
    </w:p>
    <w:p w14:paraId="2BFA2155" w14:textId="77777777" w:rsidR="00E52FAC" w:rsidRPr="006E3CAB" w:rsidRDefault="00E52FAC" w:rsidP="00D368C9">
      <w:pPr>
        <w:spacing w:before="100" w:beforeAutospacing="1" w:after="100" w:afterAutospacing="1" w:line="240" w:lineRule="auto"/>
        <w:ind w:left="567"/>
        <w:contextualSpacing/>
        <w:jc w:val="both"/>
        <w:rPr>
          <w:rFonts w:cstheme="minorHAnsi"/>
          <w:bCs/>
          <w:i/>
          <w:lang w:val="fr-BE"/>
        </w:rPr>
      </w:pPr>
      <w:r w:rsidRPr="006E3CAB">
        <w:rPr>
          <w:rFonts w:cstheme="minorHAnsi"/>
          <w:bCs/>
          <w:i/>
          <w:lang w:val="fr-BE"/>
        </w:rPr>
        <w:t>« Est seul compétent pour connaître de la demande :…</w:t>
      </w:r>
    </w:p>
    <w:p w14:paraId="35DD8662" w14:textId="2ABEADFC" w:rsidR="00E52FAC" w:rsidRDefault="00E52FAC" w:rsidP="00D368C9">
      <w:pPr>
        <w:spacing w:before="100" w:beforeAutospacing="1" w:after="100" w:afterAutospacing="1" w:line="240" w:lineRule="auto"/>
        <w:ind w:left="567"/>
        <w:contextualSpacing/>
        <w:jc w:val="both"/>
        <w:rPr>
          <w:rFonts w:cstheme="minorHAnsi"/>
          <w:bCs/>
          <w:i/>
          <w:lang w:val="fr-BE"/>
        </w:rPr>
      </w:pPr>
      <w:r w:rsidRPr="006E3CAB">
        <w:rPr>
          <w:rFonts w:cstheme="minorHAnsi"/>
          <w:bCs/>
          <w:i/>
          <w:lang w:val="fr-BE"/>
        </w:rPr>
        <w:t>9° le juge de la situation de la mine, de l'usine, de l'atelier, du magasin, du bureau et, en général, de l'endroit affecté à l'exploitation de l'entreprise, à l'exercice de la profession ou à l'activité de la société, de l'association ou du groupement, pour toutes les contestations prévues aux articles 578 et 582, 3° et 4°, pour les actions fondées sur l'article 2 de la loi du 2 juin 2010 comportant des dispositions de droit pénal social et pour l'application aux employeurs des sanctions administratives prévues à l'article 583 »</w:t>
      </w:r>
      <w:r w:rsidR="005B45E2">
        <w:rPr>
          <w:rFonts w:cstheme="minorHAnsi"/>
          <w:bCs/>
          <w:i/>
          <w:lang w:val="fr-BE"/>
        </w:rPr>
        <w:t>.</w:t>
      </w:r>
    </w:p>
    <w:p w14:paraId="49501B8C" w14:textId="77777777" w:rsidR="00D368C9" w:rsidRPr="006E3CAB" w:rsidRDefault="00D368C9" w:rsidP="00D368C9">
      <w:pPr>
        <w:spacing w:before="100" w:beforeAutospacing="1" w:after="100" w:afterAutospacing="1" w:line="240" w:lineRule="auto"/>
        <w:ind w:left="567"/>
        <w:contextualSpacing/>
        <w:jc w:val="both"/>
        <w:rPr>
          <w:rFonts w:cstheme="minorHAnsi"/>
          <w:bCs/>
          <w:i/>
          <w:lang w:val="fr-BE"/>
        </w:rPr>
      </w:pPr>
    </w:p>
    <w:p w14:paraId="0E79228A" w14:textId="0AD0CD7E" w:rsidR="00E52FAC" w:rsidRDefault="00E52FAC" w:rsidP="00D368C9">
      <w:pPr>
        <w:spacing w:before="100" w:beforeAutospacing="1" w:after="100" w:afterAutospacing="1" w:line="240" w:lineRule="auto"/>
        <w:contextualSpacing/>
        <w:jc w:val="both"/>
        <w:rPr>
          <w:rFonts w:cstheme="minorHAnsi"/>
          <w:lang w:val="fr-BE"/>
        </w:rPr>
      </w:pPr>
      <w:r w:rsidRPr="006E3CAB">
        <w:rPr>
          <w:rFonts w:cstheme="minorHAnsi"/>
          <w:lang w:val="fr-BE"/>
        </w:rPr>
        <w:t xml:space="preserve">Il convient de rappeler qu’ </w:t>
      </w:r>
      <w:r w:rsidRPr="006E3CAB">
        <w:rPr>
          <w:rFonts w:cstheme="minorHAnsi"/>
          <w:i/>
          <w:lang w:val="fr-BE"/>
        </w:rPr>
        <w:t>« Est une dis</w:t>
      </w:r>
      <w:r w:rsidR="00274D9E">
        <w:rPr>
          <w:rFonts w:cstheme="minorHAnsi"/>
          <w:i/>
          <w:lang w:val="fr-BE"/>
        </w:rPr>
        <w:t>p</w:t>
      </w:r>
      <w:r w:rsidRPr="006E3CAB">
        <w:rPr>
          <w:rFonts w:cstheme="minorHAnsi"/>
          <w:i/>
          <w:lang w:val="fr-BE"/>
        </w:rPr>
        <w:t>osition impérative et non d'ordre public la règle de compétence territoriale suivant laquelle ressortit au juge du domicile de l'assuré la contestation relative aux droits et obligations d'un travailleur salarié en matière d'assurance obligatoire maladie-invalidité »</w:t>
      </w:r>
      <w:r w:rsidR="000D72EE">
        <w:rPr>
          <w:rStyle w:val="Appelnotedebasdep"/>
          <w:rFonts w:cstheme="minorHAnsi"/>
          <w:i/>
          <w:lang w:val="fr-BE"/>
        </w:rPr>
        <w:footnoteReference w:id="2"/>
      </w:r>
      <w:r w:rsidRPr="006E3CAB">
        <w:rPr>
          <w:rFonts w:cstheme="minorHAnsi"/>
          <w:lang w:val="fr-BE"/>
        </w:rPr>
        <w:t>.</w:t>
      </w:r>
    </w:p>
    <w:p w14:paraId="5395C905" w14:textId="77777777" w:rsidR="00D368C9" w:rsidRPr="006E3CAB" w:rsidRDefault="00D368C9" w:rsidP="00D368C9">
      <w:pPr>
        <w:spacing w:before="100" w:beforeAutospacing="1" w:after="100" w:afterAutospacing="1" w:line="240" w:lineRule="auto"/>
        <w:contextualSpacing/>
        <w:jc w:val="both"/>
        <w:rPr>
          <w:rFonts w:cstheme="minorHAnsi"/>
          <w:lang w:val="fr-BE"/>
        </w:rPr>
      </w:pPr>
    </w:p>
    <w:p w14:paraId="582EBFCE" w14:textId="243BC5FF" w:rsidR="00E52FAC" w:rsidRDefault="00E52FAC" w:rsidP="00D368C9">
      <w:pPr>
        <w:spacing w:before="100" w:beforeAutospacing="1" w:after="100" w:afterAutospacing="1" w:line="240" w:lineRule="auto"/>
        <w:contextualSpacing/>
        <w:jc w:val="both"/>
        <w:rPr>
          <w:rFonts w:cstheme="minorHAnsi"/>
          <w:lang w:val="fr-BE"/>
        </w:rPr>
      </w:pPr>
      <w:r w:rsidRPr="006E3CAB">
        <w:rPr>
          <w:rFonts w:cstheme="minorHAnsi"/>
          <w:lang w:val="fr-BE"/>
        </w:rPr>
        <w:t>Par un arrêt du 16 février 2015</w:t>
      </w:r>
      <w:r w:rsidRPr="006E3CAB">
        <w:rPr>
          <w:rStyle w:val="Appelnotedebasdep"/>
          <w:rFonts w:cstheme="minorHAnsi"/>
          <w:lang w:val="fr-BE"/>
        </w:rPr>
        <w:footnoteReference w:id="3"/>
      </w:r>
      <w:r w:rsidRPr="006E3CAB">
        <w:rPr>
          <w:rFonts w:cstheme="minorHAnsi"/>
          <w:lang w:val="fr-BE"/>
        </w:rPr>
        <w:t>, la Cour de cassation a précisé que la disposition de l’article 627,</w:t>
      </w:r>
      <w:r w:rsidR="00AC50B7">
        <w:rPr>
          <w:rFonts w:cstheme="minorHAnsi"/>
          <w:lang w:val="fr-BE"/>
        </w:rPr>
        <w:t xml:space="preserve"> </w:t>
      </w:r>
      <w:r w:rsidRPr="006E3CAB">
        <w:rPr>
          <w:rFonts w:cstheme="minorHAnsi"/>
          <w:lang w:val="fr-BE"/>
        </w:rPr>
        <w:t>9° du Code judiciaire n’est impérative qu’en faveur du seul travailleur.</w:t>
      </w:r>
    </w:p>
    <w:p w14:paraId="211A0137" w14:textId="77777777" w:rsidR="00D368C9" w:rsidRPr="006E3CAB" w:rsidRDefault="00D368C9" w:rsidP="00D368C9">
      <w:pPr>
        <w:spacing w:before="100" w:beforeAutospacing="1" w:after="100" w:afterAutospacing="1" w:line="240" w:lineRule="auto"/>
        <w:contextualSpacing/>
        <w:jc w:val="both"/>
        <w:rPr>
          <w:rFonts w:cstheme="minorHAnsi"/>
          <w:lang w:val="fr-BE"/>
        </w:rPr>
      </w:pPr>
    </w:p>
    <w:p w14:paraId="14811A1B" w14:textId="7562FA0B" w:rsidR="00E52FAC" w:rsidRDefault="00E52FAC" w:rsidP="00D368C9">
      <w:pPr>
        <w:spacing w:before="100" w:beforeAutospacing="1" w:after="100" w:afterAutospacing="1" w:line="240" w:lineRule="auto"/>
        <w:contextualSpacing/>
        <w:jc w:val="both"/>
        <w:rPr>
          <w:rFonts w:cstheme="minorHAnsi"/>
          <w:lang w:val="fr-BE"/>
        </w:rPr>
      </w:pPr>
      <w:r w:rsidRPr="006E3CAB">
        <w:rPr>
          <w:rFonts w:cstheme="minorHAnsi"/>
          <w:lang w:val="fr-BE"/>
        </w:rPr>
        <w:t xml:space="preserve">Il n’est pas contesté que le requérant est occupé par le TEC Brabant wallon, et qu’il est affecté au dépôt de </w:t>
      </w:r>
      <w:proofErr w:type="spellStart"/>
      <w:r w:rsidR="00AC7907">
        <w:rPr>
          <w:rFonts w:cstheme="minorHAnsi"/>
          <w:lang w:val="fr-BE"/>
        </w:rPr>
        <w:t>Houtsiplou</w:t>
      </w:r>
      <w:proofErr w:type="spellEnd"/>
      <w:r w:rsidRPr="006E3CAB">
        <w:rPr>
          <w:rFonts w:cstheme="minorHAnsi"/>
          <w:lang w:val="fr-BE"/>
        </w:rPr>
        <w:t>. Son lieu de travail est donc situé en Brabant wallon.</w:t>
      </w:r>
    </w:p>
    <w:p w14:paraId="6CDAB031" w14:textId="77777777" w:rsidR="00D368C9" w:rsidRPr="006E3CAB" w:rsidRDefault="00D368C9" w:rsidP="00D368C9">
      <w:pPr>
        <w:spacing w:before="100" w:beforeAutospacing="1" w:after="100" w:afterAutospacing="1" w:line="240" w:lineRule="auto"/>
        <w:contextualSpacing/>
        <w:jc w:val="both"/>
        <w:rPr>
          <w:rFonts w:cstheme="minorHAnsi"/>
          <w:lang w:val="fr-BE"/>
        </w:rPr>
      </w:pPr>
    </w:p>
    <w:p w14:paraId="37D3303C" w14:textId="0091633F" w:rsidR="00E52FAC" w:rsidRDefault="00E52FAC" w:rsidP="00D368C9">
      <w:pPr>
        <w:spacing w:before="100" w:beforeAutospacing="1" w:after="100" w:afterAutospacing="1" w:line="240" w:lineRule="auto"/>
        <w:contextualSpacing/>
        <w:jc w:val="both"/>
        <w:rPr>
          <w:rFonts w:cstheme="minorHAnsi"/>
          <w:lang w:val="fr-BE"/>
        </w:rPr>
      </w:pPr>
      <w:r w:rsidRPr="006E3CAB">
        <w:rPr>
          <w:rFonts w:cstheme="minorHAnsi"/>
          <w:lang w:val="fr-BE"/>
        </w:rPr>
        <w:t xml:space="preserve">Monsieur </w:t>
      </w:r>
      <w:r w:rsidR="00AC7907">
        <w:rPr>
          <w:rFonts w:cstheme="minorHAnsi"/>
          <w:lang w:val="fr-BE"/>
        </w:rPr>
        <w:t>P</w:t>
      </w:r>
      <w:r w:rsidRPr="006E3CAB">
        <w:rPr>
          <w:rFonts w:cstheme="minorHAnsi"/>
          <w:lang w:val="fr-BE"/>
        </w:rPr>
        <w:t xml:space="preserve"> renonce à cette disposition protectrice en sa seule faveur.</w:t>
      </w:r>
    </w:p>
    <w:p w14:paraId="2FB83C0C" w14:textId="77777777" w:rsidR="00D368C9" w:rsidRPr="006E3CAB" w:rsidRDefault="00D368C9" w:rsidP="00D368C9">
      <w:pPr>
        <w:spacing w:before="100" w:beforeAutospacing="1" w:after="100" w:afterAutospacing="1" w:line="240" w:lineRule="auto"/>
        <w:contextualSpacing/>
        <w:jc w:val="both"/>
        <w:rPr>
          <w:rFonts w:cstheme="minorHAnsi"/>
          <w:lang w:val="fr-BE"/>
        </w:rPr>
      </w:pPr>
    </w:p>
    <w:p w14:paraId="3BEE5101" w14:textId="77777777" w:rsidR="00E52FAC" w:rsidRDefault="00E52FAC" w:rsidP="00D368C9">
      <w:pPr>
        <w:spacing w:before="100" w:beforeAutospacing="1" w:after="100" w:afterAutospacing="1" w:line="240" w:lineRule="auto"/>
        <w:contextualSpacing/>
        <w:jc w:val="both"/>
        <w:rPr>
          <w:rFonts w:cstheme="minorHAnsi"/>
          <w:lang w:val="fr-BE"/>
        </w:rPr>
      </w:pPr>
      <w:r w:rsidRPr="006E3CAB">
        <w:rPr>
          <w:rFonts w:cstheme="minorHAnsi"/>
          <w:lang w:val="fr-BE"/>
        </w:rPr>
        <w:t>Il choisit la règle supplétive visée par l’article 624, 1° du Code judiciaire, soit le juge du domicile du défendeur.</w:t>
      </w:r>
    </w:p>
    <w:p w14:paraId="586329B6" w14:textId="77777777" w:rsidR="00D368C9" w:rsidRPr="006E3CAB" w:rsidRDefault="00D368C9" w:rsidP="00D368C9">
      <w:pPr>
        <w:spacing w:before="100" w:beforeAutospacing="1" w:after="100" w:afterAutospacing="1" w:line="240" w:lineRule="auto"/>
        <w:contextualSpacing/>
        <w:jc w:val="both"/>
        <w:rPr>
          <w:rFonts w:cstheme="minorHAnsi"/>
          <w:lang w:val="fr-BE"/>
        </w:rPr>
      </w:pPr>
    </w:p>
    <w:p w14:paraId="40A659B9" w14:textId="77777777" w:rsidR="00E52FAC" w:rsidRDefault="00E52FAC" w:rsidP="00D368C9">
      <w:pPr>
        <w:spacing w:before="100" w:beforeAutospacing="1" w:after="100" w:afterAutospacing="1" w:line="240" w:lineRule="auto"/>
        <w:contextualSpacing/>
        <w:jc w:val="both"/>
        <w:rPr>
          <w:rFonts w:cstheme="minorHAnsi"/>
          <w:lang w:val="fr-BE"/>
        </w:rPr>
      </w:pPr>
      <w:r w:rsidRPr="006E3CAB">
        <w:rPr>
          <w:rFonts w:cstheme="minorHAnsi"/>
          <w:lang w:val="fr-BE"/>
        </w:rPr>
        <w:t>Le siège social du défendeur est situé à Namur, situé dans le ressort couvert par le tribunal du travail de Liège.</w:t>
      </w:r>
    </w:p>
    <w:p w14:paraId="2233BD83" w14:textId="77777777" w:rsidR="00D368C9" w:rsidRPr="006E3CAB" w:rsidRDefault="00D368C9" w:rsidP="00D368C9">
      <w:pPr>
        <w:spacing w:before="100" w:beforeAutospacing="1" w:after="100" w:afterAutospacing="1" w:line="240" w:lineRule="auto"/>
        <w:contextualSpacing/>
        <w:jc w:val="both"/>
        <w:rPr>
          <w:rFonts w:cstheme="minorHAnsi"/>
          <w:lang w:val="fr-BE"/>
        </w:rPr>
      </w:pPr>
    </w:p>
    <w:p w14:paraId="48CCD730" w14:textId="3CE663F4" w:rsidR="00E52FAC" w:rsidRDefault="00E52FAC" w:rsidP="00D368C9">
      <w:pPr>
        <w:spacing w:before="100" w:beforeAutospacing="1" w:after="100" w:afterAutospacing="1" w:line="240" w:lineRule="auto"/>
        <w:contextualSpacing/>
        <w:jc w:val="both"/>
        <w:rPr>
          <w:rFonts w:cstheme="minorHAnsi"/>
          <w:lang w:val="fr-BE"/>
        </w:rPr>
      </w:pPr>
      <w:r w:rsidRPr="006E3CAB">
        <w:rPr>
          <w:rFonts w:cstheme="minorHAnsi"/>
          <w:lang w:val="fr-BE"/>
        </w:rPr>
        <w:t>Dès lors, le président du tribunal du travail de Liège estime être compétent territorialement pour</w:t>
      </w:r>
      <w:r w:rsidR="00066BBD">
        <w:rPr>
          <w:rFonts w:cstheme="minorHAnsi"/>
          <w:lang w:val="fr-BE"/>
        </w:rPr>
        <w:t xml:space="preserve"> </w:t>
      </w:r>
      <w:r w:rsidRPr="006E3CAB">
        <w:rPr>
          <w:rFonts w:cstheme="minorHAnsi"/>
          <w:lang w:val="fr-BE"/>
        </w:rPr>
        <w:t>connaître de la cause.</w:t>
      </w:r>
    </w:p>
    <w:p w14:paraId="16BDCEAE" w14:textId="77777777" w:rsidR="00D368C9" w:rsidRPr="006E3CAB" w:rsidRDefault="00D368C9" w:rsidP="00D368C9">
      <w:pPr>
        <w:spacing w:before="100" w:beforeAutospacing="1" w:after="100" w:afterAutospacing="1" w:line="240" w:lineRule="auto"/>
        <w:contextualSpacing/>
        <w:jc w:val="both"/>
        <w:rPr>
          <w:rFonts w:cstheme="minorHAnsi"/>
          <w:lang w:val="fr-BE"/>
        </w:rPr>
      </w:pPr>
    </w:p>
    <w:p w14:paraId="235A87D7" w14:textId="07D6025F" w:rsidR="00E52FAC" w:rsidRPr="006E3CAB" w:rsidRDefault="00E52FAC" w:rsidP="003A031B">
      <w:pPr>
        <w:pStyle w:val="Liste"/>
        <w:numPr>
          <w:ilvl w:val="0"/>
          <w:numId w:val="23"/>
        </w:numPr>
        <w:spacing w:before="100" w:beforeAutospacing="1" w:after="100" w:afterAutospacing="1"/>
        <w:contextualSpacing/>
        <w:jc w:val="both"/>
        <w:rPr>
          <w:rFonts w:asciiTheme="minorHAnsi" w:hAnsiTheme="minorHAnsi" w:cstheme="minorHAnsi"/>
          <w:b/>
          <w:bCs/>
          <w:sz w:val="22"/>
          <w:szCs w:val="22"/>
          <w:u w:val="single"/>
        </w:rPr>
      </w:pPr>
      <w:r w:rsidRPr="006E3CAB">
        <w:rPr>
          <w:rFonts w:asciiTheme="minorHAnsi" w:hAnsiTheme="minorHAnsi" w:cstheme="minorHAnsi"/>
          <w:b/>
          <w:bCs/>
          <w:sz w:val="22"/>
          <w:szCs w:val="22"/>
          <w:u w:val="single"/>
        </w:rPr>
        <w:t>RECEVABILITE </w:t>
      </w:r>
    </w:p>
    <w:p w14:paraId="778E12DB" w14:textId="77777777" w:rsidR="00E52FAC" w:rsidRPr="006E3CAB" w:rsidRDefault="00E52FAC" w:rsidP="00D368C9">
      <w:pPr>
        <w:pStyle w:val="Liste"/>
        <w:spacing w:before="100" w:beforeAutospacing="1" w:after="100" w:afterAutospacing="1"/>
        <w:ind w:left="0" w:firstLine="0"/>
        <w:contextualSpacing/>
        <w:jc w:val="both"/>
        <w:rPr>
          <w:rFonts w:asciiTheme="minorHAnsi" w:hAnsiTheme="minorHAnsi" w:cstheme="minorHAnsi"/>
          <w:b/>
          <w:bCs/>
          <w:sz w:val="22"/>
          <w:szCs w:val="22"/>
          <w:u w:val="single"/>
        </w:rPr>
      </w:pPr>
    </w:p>
    <w:p w14:paraId="5FBC5045" w14:textId="77777777" w:rsidR="00E52FAC" w:rsidRPr="006E3CAB" w:rsidRDefault="00E52FAC"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Introduite dans les formes et délais légaux, l’action principale est recevable.</w:t>
      </w:r>
    </w:p>
    <w:p w14:paraId="48E2B0B5" w14:textId="77777777" w:rsidR="00E52FAC" w:rsidRPr="006E3CAB" w:rsidRDefault="00E52FAC" w:rsidP="00D368C9">
      <w:pPr>
        <w:pStyle w:val="Liste"/>
        <w:spacing w:before="100" w:beforeAutospacing="1" w:after="100" w:afterAutospacing="1"/>
        <w:ind w:left="0" w:firstLine="0"/>
        <w:contextualSpacing/>
        <w:jc w:val="both"/>
        <w:rPr>
          <w:rFonts w:asciiTheme="minorHAnsi" w:hAnsiTheme="minorHAnsi" w:cstheme="minorHAnsi"/>
          <w:b/>
          <w:bCs/>
          <w:sz w:val="22"/>
          <w:szCs w:val="22"/>
          <w:u w:val="single"/>
        </w:rPr>
      </w:pPr>
    </w:p>
    <w:p w14:paraId="672C38C4" w14:textId="7881F706" w:rsidR="00E52FAC" w:rsidRPr="006E3CAB" w:rsidRDefault="00E52FAC"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Introduite dans les formes et délais légaux, l</w:t>
      </w:r>
      <w:r w:rsidR="00F234D8" w:rsidRPr="006E3CAB">
        <w:rPr>
          <w:rFonts w:asciiTheme="minorHAnsi" w:hAnsiTheme="minorHAnsi" w:cstheme="minorHAnsi"/>
          <w:sz w:val="22"/>
          <w:szCs w:val="22"/>
        </w:rPr>
        <w:t xml:space="preserve">a demande en intervention volontaire </w:t>
      </w:r>
      <w:r w:rsidRPr="006E3CAB">
        <w:rPr>
          <w:rFonts w:asciiTheme="minorHAnsi" w:hAnsiTheme="minorHAnsi" w:cstheme="minorHAnsi"/>
          <w:sz w:val="22"/>
          <w:szCs w:val="22"/>
        </w:rPr>
        <w:t xml:space="preserve">est </w:t>
      </w:r>
      <w:r w:rsidR="00F234D8" w:rsidRPr="006E3CAB">
        <w:rPr>
          <w:rFonts w:asciiTheme="minorHAnsi" w:hAnsiTheme="minorHAnsi" w:cstheme="minorHAnsi"/>
          <w:sz w:val="22"/>
          <w:szCs w:val="22"/>
        </w:rPr>
        <w:t xml:space="preserve">également </w:t>
      </w:r>
      <w:r w:rsidRPr="006E3CAB">
        <w:rPr>
          <w:rFonts w:asciiTheme="minorHAnsi" w:hAnsiTheme="minorHAnsi" w:cstheme="minorHAnsi"/>
          <w:sz w:val="22"/>
          <w:szCs w:val="22"/>
        </w:rPr>
        <w:t>recevable.</w:t>
      </w:r>
    </w:p>
    <w:p w14:paraId="0884BBFB" w14:textId="77777777" w:rsidR="00E52FAC" w:rsidRPr="006E3CAB" w:rsidRDefault="00E52FAC" w:rsidP="00D368C9">
      <w:pPr>
        <w:pStyle w:val="Liste"/>
        <w:spacing w:before="100" w:beforeAutospacing="1" w:after="100" w:afterAutospacing="1"/>
        <w:ind w:left="0" w:firstLine="0"/>
        <w:contextualSpacing/>
        <w:jc w:val="both"/>
        <w:rPr>
          <w:rFonts w:asciiTheme="minorHAnsi" w:hAnsiTheme="minorHAnsi" w:cstheme="minorHAnsi"/>
          <w:b/>
          <w:bCs/>
          <w:sz w:val="22"/>
          <w:szCs w:val="22"/>
          <w:u w:val="single"/>
        </w:rPr>
      </w:pPr>
    </w:p>
    <w:p w14:paraId="0B4BB75E" w14:textId="33728C49" w:rsidR="00F234D8" w:rsidRPr="006E3CAB" w:rsidRDefault="00F234D8" w:rsidP="003A031B">
      <w:pPr>
        <w:pStyle w:val="Liste"/>
        <w:numPr>
          <w:ilvl w:val="0"/>
          <w:numId w:val="23"/>
        </w:numPr>
        <w:spacing w:before="100" w:beforeAutospacing="1" w:after="100" w:afterAutospacing="1"/>
        <w:contextualSpacing/>
        <w:jc w:val="both"/>
        <w:rPr>
          <w:rFonts w:asciiTheme="minorHAnsi" w:hAnsiTheme="minorHAnsi" w:cstheme="minorHAnsi"/>
          <w:b/>
          <w:bCs/>
          <w:sz w:val="22"/>
          <w:szCs w:val="22"/>
          <w:u w:val="single"/>
        </w:rPr>
      </w:pPr>
      <w:r w:rsidRPr="006E3CAB">
        <w:rPr>
          <w:rFonts w:asciiTheme="minorHAnsi" w:hAnsiTheme="minorHAnsi" w:cstheme="minorHAnsi"/>
          <w:b/>
          <w:bCs/>
          <w:sz w:val="22"/>
          <w:szCs w:val="22"/>
          <w:u w:val="single"/>
        </w:rPr>
        <w:t>FONDEMENT </w:t>
      </w:r>
    </w:p>
    <w:p w14:paraId="72C6387C" w14:textId="77777777" w:rsidR="00F234D8" w:rsidRPr="006E3CAB" w:rsidRDefault="00F234D8" w:rsidP="00D368C9">
      <w:pPr>
        <w:pStyle w:val="Liste"/>
        <w:spacing w:before="100" w:beforeAutospacing="1" w:after="100" w:afterAutospacing="1"/>
        <w:ind w:left="0" w:firstLine="0"/>
        <w:contextualSpacing/>
        <w:jc w:val="both"/>
        <w:rPr>
          <w:rFonts w:asciiTheme="minorHAnsi" w:hAnsiTheme="minorHAnsi" w:cstheme="minorHAnsi"/>
          <w:b/>
          <w:bCs/>
          <w:sz w:val="22"/>
          <w:szCs w:val="22"/>
          <w:u w:val="single"/>
        </w:rPr>
      </w:pPr>
    </w:p>
    <w:p w14:paraId="2C5991E8" w14:textId="56904F82" w:rsidR="00520132" w:rsidRPr="006E3CAB" w:rsidRDefault="00F234D8" w:rsidP="00A903C6">
      <w:pPr>
        <w:pStyle w:val="Normalcentr"/>
        <w:numPr>
          <w:ilvl w:val="0"/>
          <w:numId w:val="21"/>
        </w:numPr>
        <w:tabs>
          <w:tab w:val="left" w:pos="0"/>
          <w:tab w:val="left" w:pos="6096"/>
          <w:tab w:val="right" w:pos="7088"/>
        </w:tabs>
        <w:spacing w:before="100" w:beforeAutospacing="1" w:after="100" w:afterAutospacing="1"/>
        <w:contextualSpacing/>
        <w:jc w:val="both"/>
        <w:rPr>
          <w:rFonts w:asciiTheme="minorHAnsi" w:hAnsiTheme="minorHAnsi" w:cstheme="minorHAnsi"/>
          <w:b/>
          <w:bCs/>
          <w:sz w:val="22"/>
          <w:szCs w:val="22"/>
          <w:u w:val="single"/>
        </w:rPr>
      </w:pPr>
      <w:r w:rsidRPr="006E3CAB">
        <w:rPr>
          <w:rFonts w:asciiTheme="minorHAnsi" w:hAnsiTheme="minorHAnsi" w:cstheme="minorHAnsi"/>
          <w:b/>
          <w:bCs/>
          <w:sz w:val="22"/>
          <w:szCs w:val="22"/>
          <w:u w:val="single"/>
        </w:rPr>
        <w:t>Action en cessation « discrimination »</w:t>
      </w:r>
    </w:p>
    <w:p w14:paraId="11CFBFC7" w14:textId="7EA4BAB3" w:rsidR="00A41FC4" w:rsidRPr="006E3CAB" w:rsidRDefault="00CD2835" w:rsidP="00CD2835">
      <w:pPr>
        <w:pStyle w:val="Corpsdetexte"/>
        <w:tabs>
          <w:tab w:val="right" w:pos="7088"/>
        </w:tabs>
        <w:spacing w:before="100" w:beforeAutospacing="1" w:after="100" w:afterAutospacing="1"/>
        <w:contextualSpacing/>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A.1. </w:t>
      </w:r>
      <w:r w:rsidR="00A41FC4" w:rsidRPr="006E3CAB">
        <w:rPr>
          <w:rFonts w:asciiTheme="minorHAnsi" w:hAnsiTheme="minorHAnsi" w:cstheme="minorHAnsi"/>
          <w:b/>
          <w:bCs/>
          <w:sz w:val="22"/>
          <w:szCs w:val="22"/>
          <w:u w:val="single"/>
        </w:rPr>
        <w:t xml:space="preserve">Notion de discrimination: </w:t>
      </w:r>
      <w:r w:rsidR="00B64AB4">
        <w:rPr>
          <w:rFonts w:asciiTheme="minorHAnsi" w:hAnsiTheme="minorHAnsi" w:cstheme="minorHAnsi"/>
          <w:b/>
          <w:bCs/>
          <w:sz w:val="22"/>
          <w:szCs w:val="22"/>
          <w:u w:val="single"/>
        </w:rPr>
        <w:t>en droit</w:t>
      </w:r>
    </w:p>
    <w:p w14:paraId="69FCEC70" w14:textId="77777777" w:rsidR="00A41FC4" w:rsidRPr="006E3CAB" w:rsidRDefault="00A41FC4" w:rsidP="00D368C9">
      <w:pPr>
        <w:pStyle w:val="Corpsdetexte"/>
        <w:tabs>
          <w:tab w:val="right" w:pos="7088"/>
        </w:tabs>
        <w:spacing w:before="100" w:beforeAutospacing="1" w:after="100" w:afterAutospacing="1"/>
        <w:contextualSpacing/>
        <w:rPr>
          <w:rFonts w:asciiTheme="minorHAnsi" w:hAnsiTheme="minorHAnsi" w:cstheme="minorHAnsi"/>
          <w:sz w:val="22"/>
          <w:szCs w:val="22"/>
        </w:rPr>
      </w:pPr>
    </w:p>
    <w:p w14:paraId="270778E7" w14:textId="66588AD3" w:rsidR="00A41FC4" w:rsidRPr="00BC38F8" w:rsidRDefault="00A41FC4" w:rsidP="00CD2835">
      <w:pPr>
        <w:pStyle w:val="Corpsdetexte"/>
        <w:numPr>
          <w:ilvl w:val="0"/>
          <w:numId w:val="29"/>
        </w:numPr>
        <w:tabs>
          <w:tab w:val="right" w:pos="7088"/>
        </w:tabs>
        <w:spacing w:before="100" w:beforeAutospacing="1" w:after="100" w:afterAutospacing="1"/>
        <w:contextualSpacing/>
        <w:rPr>
          <w:rFonts w:asciiTheme="minorHAnsi" w:hAnsiTheme="minorHAnsi" w:cstheme="minorHAnsi"/>
          <w:sz w:val="22"/>
          <w:szCs w:val="22"/>
          <w:u w:val="single"/>
        </w:rPr>
      </w:pPr>
      <w:r w:rsidRPr="00BC38F8">
        <w:rPr>
          <w:rFonts w:asciiTheme="minorHAnsi" w:hAnsiTheme="minorHAnsi" w:cstheme="minorHAnsi"/>
          <w:sz w:val="22"/>
          <w:szCs w:val="22"/>
          <w:u w:val="single"/>
        </w:rPr>
        <w:t>Dispositions légales</w:t>
      </w:r>
    </w:p>
    <w:p w14:paraId="64B60531" w14:textId="77777777" w:rsidR="00A41FC4" w:rsidRPr="006E3CAB" w:rsidRDefault="00A41FC4" w:rsidP="00D368C9">
      <w:pPr>
        <w:pStyle w:val="Corpsdetexte"/>
        <w:tabs>
          <w:tab w:val="right" w:pos="7088"/>
        </w:tabs>
        <w:spacing w:before="100" w:beforeAutospacing="1" w:after="100" w:afterAutospacing="1"/>
        <w:contextualSpacing/>
        <w:rPr>
          <w:rFonts w:asciiTheme="minorHAnsi" w:hAnsiTheme="minorHAnsi" w:cstheme="minorHAnsi"/>
          <w:bCs/>
          <w:sz w:val="22"/>
          <w:szCs w:val="22"/>
        </w:rPr>
      </w:pPr>
    </w:p>
    <w:p w14:paraId="35F20962" w14:textId="185BA62D" w:rsidR="00A41FC4" w:rsidRDefault="00A41FC4" w:rsidP="00D368C9">
      <w:pPr>
        <w:pStyle w:val="Corpsdetexte"/>
        <w:tabs>
          <w:tab w:val="right" w:pos="7088"/>
        </w:tabs>
        <w:spacing w:before="100" w:beforeAutospacing="1" w:after="100" w:afterAutospacing="1"/>
        <w:contextualSpacing/>
        <w:rPr>
          <w:rFonts w:asciiTheme="minorHAnsi" w:hAnsiTheme="minorHAnsi" w:cstheme="minorHAnsi"/>
          <w:bCs/>
          <w:sz w:val="22"/>
          <w:szCs w:val="22"/>
        </w:rPr>
      </w:pPr>
      <w:r w:rsidRPr="006E3CAB">
        <w:rPr>
          <w:rFonts w:asciiTheme="minorHAnsi" w:hAnsiTheme="minorHAnsi" w:cstheme="minorHAnsi"/>
          <w:bCs/>
          <w:sz w:val="22"/>
          <w:szCs w:val="22"/>
        </w:rPr>
        <w:t>La loi de base est la loi du 10 mai 2007 tendant à lutter contre certaines formes de discrimination.</w:t>
      </w:r>
      <w:r w:rsidR="00384442">
        <w:rPr>
          <w:rFonts w:asciiTheme="minorHAnsi" w:hAnsiTheme="minorHAnsi" w:cstheme="minorHAnsi"/>
          <w:bCs/>
          <w:sz w:val="22"/>
          <w:szCs w:val="22"/>
        </w:rPr>
        <w:t xml:space="preserve"> Cependant, l’article </w:t>
      </w:r>
      <w:r w:rsidR="00456964">
        <w:rPr>
          <w:rFonts w:asciiTheme="minorHAnsi" w:hAnsiTheme="minorHAnsi" w:cstheme="minorHAnsi"/>
          <w:bCs/>
          <w:sz w:val="22"/>
          <w:szCs w:val="22"/>
        </w:rPr>
        <w:t>4, alinéa 1</w:t>
      </w:r>
      <w:r w:rsidR="00456964" w:rsidRPr="00456964">
        <w:rPr>
          <w:rFonts w:asciiTheme="minorHAnsi" w:hAnsiTheme="minorHAnsi" w:cstheme="minorHAnsi"/>
          <w:bCs/>
          <w:sz w:val="22"/>
          <w:szCs w:val="22"/>
          <w:vertAlign w:val="superscript"/>
        </w:rPr>
        <w:t>er</w:t>
      </w:r>
      <w:r w:rsidR="00456964">
        <w:rPr>
          <w:rFonts w:asciiTheme="minorHAnsi" w:hAnsiTheme="minorHAnsi" w:cstheme="minorHAnsi"/>
          <w:bCs/>
          <w:sz w:val="22"/>
          <w:szCs w:val="22"/>
        </w:rPr>
        <w:t xml:space="preserve">, 1°, dernier tiret </w:t>
      </w:r>
      <w:r w:rsidR="00235261">
        <w:rPr>
          <w:rFonts w:asciiTheme="minorHAnsi" w:hAnsiTheme="minorHAnsi" w:cstheme="minorHAnsi"/>
          <w:bCs/>
          <w:sz w:val="22"/>
          <w:szCs w:val="22"/>
        </w:rPr>
        <w:t xml:space="preserve">stipule que les relations de travail nouées </w:t>
      </w:r>
      <w:r w:rsidR="00FF2020">
        <w:rPr>
          <w:rFonts w:asciiTheme="minorHAnsi" w:hAnsiTheme="minorHAnsi" w:cstheme="minorHAnsi"/>
          <w:bCs/>
          <w:sz w:val="22"/>
          <w:szCs w:val="22"/>
        </w:rPr>
        <w:t>avec</w:t>
      </w:r>
      <w:r w:rsidR="00235261">
        <w:rPr>
          <w:rFonts w:asciiTheme="minorHAnsi" w:hAnsiTheme="minorHAnsi" w:cstheme="minorHAnsi"/>
          <w:bCs/>
          <w:sz w:val="22"/>
          <w:szCs w:val="22"/>
        </w:rPr>
        <w:t xml:space="preserve"> les organismes et institutions </w:t>
      </w:r>
      <w:r w:rsidR="00FF2020">
        <w:rPr>
          <w:rFonts w:asciiTheme="minorHAnsi" w:hAnsiTheme="minorHAnsi" w:cstheme="minorHAnsi"/>
          <w:bCs/>
          <w:sz w:val="22"/>
          <w:szCs w:val="22"/>
        </w:rPr>
        <w:t xml:space="preserve">créés par les Régions et Communautés sont exclues du champ d’application de </w:t>
      </w:r>
      <w:r w:rsidR="0086459C">
        <w:rPr>
          <w:rFonts w:asciiTheme="minorHAnsi" w:hAnsiTheme="minorHAnsi" w:cstheme="minorHAnsi"/>
          <w:bCs/>
          <w:sz w:val="22"/>
          <w:szCs w:val="22"/>
        </w:rPr>
        <w:t xml:space="preserve">cette loi. </w:t>
      </w:r>
    </w:p>
    <w:p w14:paraId="7AAD8EFB" w14:textId="77777777" w:rsidR="0086459C" w:rsidRDefault="0086459C" w:rsidP="00D368C9">
      <w:pPr>
        <w:pStyle w:val="Corpsdetexte"/>
        <w:tabs>
          <w:tab w:val="right" w:pos="7088"/>
        </w:tabs>
        <w:spacing w:before="100" w:beforeAutospacing="1" w:after="100" w:afterAutospacing="1"/>
        <w:contextualSpacing/>
        <w:rPr>
          <w:rFonts w:asciiTheme="minorHAnsi" w:hAnsiTheme="minorHAnsi" w:cstheme="minorHAnsi"/>
          <w:bCs/>
          <w:sz w:val="22"/>
          <w:szCs w:val="22"/>
        </w:rPr>
      </w:pPr>
    </w:p>
    <w:p w14:paraId="64C4DBD9" w14:textId="345D39D4" w:rsidR="0086459C" w:rsidRDefault="00E2504E" w:rsidP="00D368C9">
      <w:pPr>
        <w:pStyle w:val="Corpsdetexte"/>
        <w:tabs>
          <w:tab w:val="right" w:pos="7088"/>
        </w:tabs>
        <w:spacing w:before="100" w:beforeAutospacing="1" w:after="100" w:afterAutospacing="1"/>
        <w:contextualSpacing/>
        <w:rPr>
          <w:rFonts w:asciiTheme="minorHAnsi" w:hAnsiTheme="minorHAnsi" w:cstheme="minorHAnsi"/>
          <w:bCs/>
          <w:sz w:val="22"/>
          <w:szCs w:val="22"/>
        </w:rPr>
      </w:pPr>
      <w:r>
        <w:rPr>
          <w:rFonts w:asciiTheme="minorHAnsi" w:hAnsiTheme="minorHAnsi" w:cstheme="minorHAnsi"/>
          <w:bCs/>
          <w:sz w:val="22"/>
          <w:szCs w:val="22"/>
        </w:rPr>
        <w:t>Or, le site web de l</w:t>
      </w:r>
      <w:r w:rsidR="0086459C">
        <w:rPr>
          <w:rFonts w:asciiTheme="minorHAnsi" w:hAnsiTheme="minorHAnsi" w:cstheme="minorHAnsi"/>
          <w:bCs/>
          <w:sz w:val="22"/>
          <w:szCs w:val="22"/>
        </w:rPr>
        <w:t>’OTW</w:t>
      </w:r>
      <w:r>
        <w:rPr>
          <w:rStyle w:val="Appelnotedebasdep"/>
          <w:rFonts w:asciiTheme="minorHAnsi" w:hAnsiTheme="minorHAnsi" w:cstheme="minorHAnsi"/>
          <w:bCs/>
          <w:sz w:val="22"/>
          <w:szCs w:val="22"/>
        </w:rPr>
        <w:footnoteReference w:id="4"/>
      </w:r>
      <w:r w:rsidR="0086459C">
        <w:rPr>
          <w:rFonts w:asciiTheme="minorHAnsi" w:hAnsiTheme="minorHAnsi" w:cstheme="minorHAnsi"/>
          <w:bCs/>
          <w:sz w:val="22"/>
          <w:szCs w:val="22"/>
        </w:rPr>
        <w:t xml:space="preserve"> </w:t>
      </w:r>
      <w:r>
        <w:rPr>
          <w:rFonts w:asciiTheme="minorHAnsi" w:hAnsiTheme="minorHAnsi" w:cstheme="minorHAnsi"/>
          <w:bCs/>
          <w:sz w:val="22"/>
          <w:szCs w:val="22"/>
        </w:rPr>
        <w:t>précise :</w:t>
      </w:r>
    </w:p>
    <w:p w14:paraId="229D06A3" w14:textId="77777777" w:rsidR="00E2504E" w:rsidRPr="00E2504E" w:rsidRDefault="00E2504E" w:rsidP="00E2504E">
      <w:pPr>
        <w:pStyle w:val="Corpsdetexte"/>
        <w:tabs>
          <w:tab w:val="right" w:pos="7088"/>
        </w:tabs>
        <w:spacing w:before="100" w:beforeAutospacing="1" w:after="100" w:afterAutospacing="1"/>
        <w:ind w:left="426"/>
        <w:contextualSpacing/>
        <w:rPr>
          <w:rFonts w:asciiTheme="minorHAnsi" w:hAnsiTheme="minorHAnsi" w:cstheme="minorHAnsi"/>
          <w:bCs/>
          <w:i/>
          <w:iCs/>
          <w:sz w:val="22"/>
          <w:szCs w:val="22"/>
        </w:rPr>
      </w:pPr>
      <w:r>
        <w:rPr>
          <w:rFonts w:asciiTheme="minorHAnsi" w:hAnsiTheme="minorHAnsi" w:cstheme="minorHAnsi"/>
          <w:bCs/>
          <w:sz w:val="22"/>
          <w:szCs w:val="22"/>
        </w:rPr>
        <w:t>« </w:t>
      </w:r>
      <w:r w:rsidRPr="00E2504E">
        <w:rPr>
          <w:rFonts w:asciiTheme="minorHAnsi" w:hAnsiTheme="minorHAnsi" w:cstheme="minorHAnsi"/>
          <w:bCs/>
          <w:i/>
          <w:iCs/>
          <w:sz w:val="22"/>
          <w:szCs w:val="22"/>
        </w:rPr>
        <w:t>La Société régionale wallonne du Transport (SRWT) a été créée en vertu d'un décret du 21 décembre 1989 (MB du 8 mars 1990) suite au transfert aux Régions des compétences en matière de transport en commun urbain, suburbain et vicinal.</w:t>
      </w:r>
    </w:p>
    <w:p w14:paraId="7D146B29" w14:textId="77777777" w:rsidR="00E2504E" w:rsidRPr="00E2504E" w:rsidRDefault="00E2504E" w:rsidP="00E2504E">
      <w:pPr>
        <w:pStyle w:val="Corpsdetexte"/>
        <w:tabs>
          <w:tab w:val="right" w:pos="7088"/>
        </w:tabs>
        <w:spacing w:before="100" w:beforeAutospacing="1" w:after="100" w:afterAutospacing="1"/>
        <w:ind w:left="426"/>
        <w:contextualSpacing/>
        <w:rPr>
          <w:rFonts w:asciiTheme="minorHAnsi" w:hAnsiTheme="minorHAnsi" w:cstheme="minorHAnsi"/>
          <w:bCs/>
          <w:i/>
          <w:iCs/>
          <w:sz w:val="22"/>
          <w:szCs w:val="22"/>
        </w:rPr>
      </w:pPr>
    </w:p>
    <w:p w14:paraId="23544353" w14:textId="10C270F7" w:rsidR="00E2504E" w:rsidRPr="00E2504E" w:rsidRDefault="00E2504E" w:rsidP="00E2504E">
      <w:pPr>
        <w:pStyle w:val="Corpsdetexte"/>
        <w:tabs>
          <w:tab w:val="right" w:pos="7088"/>
        </w:tabs>
        <w:spacing w:before="100" w:beforeAutospacing="1" w:after="100" w:afterAutospacing="1"/>
        <w:ind w:left="426"/>
        <w:contextualSpacing/>
        <w:rPr>
          <w:rFonts w:asciiTheme="minorHAnsi" w:hAnsiTheme="minorHAnsi" w:cstheme="minorHAnsi"/>
          <w:bCs/>
          <w:sz w:val="22"/>
          <w:szCs w:val="22"/>
          <w:lang w:val="fr-BE"/>
        </w:rPr>
      </w:pPr>
      <w:r w:rsidRPr="00E2504E">
        <w:rPr>
          <w:rFonts w:asciiTheme="minorHAnsi" w:hAnsiTheme="minorHAnsi" w:cstheme="minorHAnsi"/>
          <w:bCs/>
          <w:i/>
          <w:iCs/>
          <w:sz w:val="22"/>
          <w:szCs w:val="22"/>
        </w:rPr>
        <w:t>En 2018, le Gouvernement wallon (GW) vote la fusion de la SRWT et des 5 TEC pour former une entité unifiée sous la dénomination d'Opérateur du Transport de Wallonie (le terme TEC restant la marque commerciale de l'entreprise).</w:t>
      </w:r>
      <w:r>
        <w:rPr>
          <w:rFonts w:asciiTheme="minorHAnsi" w:hAnsiTheme="minorHAnsi" w:cstheme="minorHAnsi"/>
          <w:bCs/>
          <w:sz w:val="22"/>
          <w:szCs w:val="22"/>
        </w:rPr>
        <w:t> »</w:t>
      </w:r>
    </w:p>
    <w:p w14:paraId="215ED39D" w14:textId="77777777" w:rsidR="00A41FC4" w:rsidRDefault="00A41FC4" w:rsidP="00D368C9">
      <w:pPr>
        <w:pStyle w:val="Corpsdetexte"/>
        <w:tabs>
          <w:tab w:val="right" w:pos="7088"/>
        </w:tabs>
        <w:spacing w:before="100" w:beforeAutospacing="1" w:after="100" w:afterAutospacing="1"/>
        <w:contextualSpacing/>
        <w:rPr>
          <w:rFonts w:asciiTheme="minorHAnsi" w:hAnsiTheme="minorHAnsi" w:cstheme="minorHAnsi"/>
          <w:bCs/>
          <w:sz w:val="22"/>
          <w:szCs w:val="22"/>
        </w:rPr>
      </w:pPr>
    </w:p>
    <w:p w14:paraId="58A01E7E" w14:textId="060D07BD" w:rsidR="00206C48" w:rsidRDefault="00206C48" w:rsidP="00D368C9">
      <w:pPr>
        <w:pStyle w:val="Corpsdetexte"/>
        <w:tabs>
          <w:tab w:val="right" w:pos="7088"/>
        </w:tabs>
        <w:spacing w:before="100" w:beforeAutospacing="1" w:after="100" w:afterAutospacing="1"/>
        <w:contextualSpacing/>
        <w:rPr>
          <w:rFonts w:asciiTheme="minorHAnsi" w:hAnsiTheme="minorHAnsi" w:cstheme="minorHAnsi"/>
          <w:bCs/>
          <w:sz w:val="22"/>
          <w:szCs w:val="22"/>
        </w:rPr>
      </w:pPr>
      <w:r>
        <w:rPr>
          <w:rFonts w:asciiTheme="minorHAnsi" w:hAnsiTheme="minorHAnsi" w:cstheme="minorHAnsi"/>
          <w:bCs/>
          <w:sz w:val="22"/>
          <w:szCs w:val="22"/>
        </w:rPr>
        <w:t>Nous sommes donc bien en présence d’un</w:t>
      </w:r>
      <w:r w:rsidR="003B4EE8">
        <w:rPr>
          <w:rFonts w:asciiTheme="minorHAnsi" w:hAnsiTheme="minorHAnsi" w:cstheme="minorHAnsi"/>
          <w:bCs/>
          <w:sz w:val="22"/>
          <w:szCs w:val="22"/>
        </w:rPr>
        <w:t xml:space="preserve"> organisme créé par la Région wallonne. Dans ce contexte, la norme applicable réside dans le décret du 6 novembre 2008 relatif </w:t>
      </w:r>
      <w:r w:rsidR="0009181F" w:rsidRPr="0009181F">
        <w:rPr>
          <w:rFonts w:asciiTheme="minorHAnsi" w:hAnsiTheme="minorHAnsi" w:cstheme="minorHAnsi"/>
          <w:bCs/>
          <w:sz w:val="22"/>
          <w:szCs w:val="22"/>
        </w:rPr>
        <w:t>à la lutte contre certaines formes de discrimination</w:t>
      </w:r>
      <w:r w:rsidR="0009181F">
        <w:rPr>
          <w:rFonts w:asciiTheme="minorHAnsi" w:hAnsiTheme="minorHAnsi" w:cstheme="minorHAnsi"/>
          <w:bCs/>
          <w:sz w:val="22"/>
          <w:szCs w:val="22"/>
        </w:rPr>
        <w:t>. Fondamentalement, et dans la mesure où ses dispositions</w:t>
      </w:r>
      <w:r w:rsidR="00033CF1">
        <w:rPr>
          <w:rFonts w:asciiTheme="minorHAnsi" w:hAnsiTheme="minorHAnsi" w:cstheme="minorHAnsi"/>
          <w:bCs/>
          <w:sz w:val="22"/>
          <w:szCs w:val="22"/>
        </w:rPr>
        <w:t xml:space="preserve"> transposent la Directive 2000/78</w:t>
      </w:r>
      <w:r w:rsidR="00205887">
        <w:rPr>
          <w:rFonts w:asciiTheme="minorHAnsi" w:hAnsiTheme="minorHAnsi" w:cstheme="minorHAnsi"/>
          <w:bCs/>
          <w:sz w:val="22"/>
          <w:szCs w:val="22"/>
        </w:rPr>
        <w:t xml:space="preserve">/CE, </w:t>
      </w:r>
      <w:r w:rsidR="00FC3186">
        <w:rPr>
          <w:rFonts w:asciiTheme="minorHAnsi" w:hAnsiTheme="minorHAnsi" w:cstheme="minorHAnsi"/>
          <w:bCs/>
          <w:sz w:val="22"/>
          <w:szCs w:val="22"/>
        </w:rPr>
        <w:t xml:space="preserve">un parallèle évident peut être fait avec la loi fédérale. </w:t>
      </w:r>
      <w:r w:rsidR="002D0442">
        <w:rPr>
          <w:rFonts w:asciiTheme="minorHAnsi" w:hAnsiTheme="minorHAnsi" w:cstheme="minorHAnsi"/>
          <w:bCs/>
          <w:sz w:val="22"/>
          <w:szCs w:val="22"/>
        </w:rPr>
        <w:t>De ce fait, la jurisprudence européenne mais également la jurisprudence nationale sur la question s</w:t>
      </w:r>
      <w:r w:rsidR="002B1B94">
        <w:rPr>
          <w:rFonts w:asciiTheme="minorHAnsi" w:hAnsiTheme="minorHAnsi" w:cstheme="minorHAnsi"/>
          <w:bCs/>
          <w:sz w:val="22"/>
          <w:szCs w:val="22"/>
        </w:rPr>
        <w:t>ont d’application.</w:t>
      </w:r>
    </w:p>
    <w:p w14:paraId="3255B636" w14:textId="77777777" w:rsidR="0009181F" w:rsidRPr="006E3CAB" w:rsidRDefault="0009181F" w:rsidP="00D368C9">
      <w:pPr>
        <w:pStyle w:val="Corpsdetexte"/>
        <w:tabs>
          <w:tab w:val="right" w:pos="7088"/>
        </w:tabs>
        <w:spacing w:before="100" w:beforeAutospacing="1" w:after="100" w:afterAutospacing="1"/>
        <w:contextualSpacing/>
        <w:rPr>
          <w:rFonts w:asciiTheme="minorHAnsi" w:hAnsiTheme="minorHAnsi" w:cstheme="minorHAnsi"/>
          <w:bCs/>
          <w:sz w:val="22"/>
          <w:szCs w:val="22"/>
        </w:rPr>
      </w:pPr>
    </w:p>
    <w:p w14:paraId="4DE8EDCC" w14:textId="7E33D48D" w:rsidR="00A41FC4" w:rsidRPr="006E3CAB" w:rsidRDefault="00A41FC4" w:rsidP="00D368C9">
      <w:pPr>
        <w:pStyle w:val="Corpsdetexte"/>
        <w:tabs>
          <w:tab w:val="right" w:pos="7088"/>
        </w:tabs>
        <w:spacing w:before="100" w:beforeAutospacing="1" w:after="100" w:afterAutospacing="1"/>
        <w:contextualSpacing/>
        <w:rPr>
          <w:rFonts w:asciiTheme="minorHAnsi" w:hAnsiTheme="minorHAnsi" w:cstheme="minorHAnsi"/>
          <w:bCs/>
          <w:sz w:val="22"/>
          <w:szCs w:val="22"/>
        </w:rPr>
      </w:pPr>
      <w:r w:rsidRPr="006E3CAB">
        <w:rPr>
          <w:rFonts w:asciiTheme="minorHAnsi" w:hAnsiTheme="minorHAnsi" w:cstheme="minorHAnsi"/>
          <w:bCs/>
          <w:sz w:val="22"/>
          <w:szCs w:val="22"/>
        </w:rPr>
        <w:t xml:space="preserve">Les principales dispositions </w:t>
      </w:r>
      <w:r w:rsidR="002B1B94">
        <w:rPr>
          <w:rFonts w:asciiTheme="minorHAnsi" w:hAnsiTheme="minorHAnsi" w:cstheme="minorHAnsi"/>
          <w:bCs/>
          <w:sz w:val="22"/>
          <w:szCs w:val="22"/>
        </w:rPr>
        <w:t xml:space="preserve">de décret </w:t>
      </w:r>
      <w:r w:rsidRPr="006E3CAB">
        <w:rPr>
          <w:rFonts w:asciiTheme="minorHAnsi" w:hAnsiTheme="minorHAnsi" w:cstheme="minorHAnsi"/>
          <w:bCs/>
          <w:sz w:val="22"/>
          <w:szCs w:val="22"/>
        </w:rPr>
        <w:t>en cause sont les suivantes :</w:t>
      </w:r>
    </w:p>
    <w:p w14:paraId="7BF79B0D" w14:textId="77777777" w:rsidR="00A41FC4" w:rsidRPr="006E3CAB" w:rsidRDefault="00A41FC4" w:rsidP="00D368C9">
      <w:pPr>
        <w:pStyle w:val="Corpsdetexte"/>
        <w:tabs>
          <w:tab w:val="right" w:pos="7088"/>
        </w:tabs>
        <w:spacing w:before="100" w:beforeAutospacing="1" w:after="100" w:afterAutospacing="1"/>
        <w:contextualSpacing/>
        <w:rPr>
          <w:rFonts w:asciiTheme="minorHAnsi" w:hAnsiTheme="minorHAnsi" w:cstheme="minorHAnsi"/>
          <w:bCs/>
          <w:sz w:val="22"/>
          <w:szCs w:val="22"/>
        </w:rPr>
      </w:pPr>
    </w:p>
    <w:p w14:paraId="7A4BE4B6" w14:textId="77777777" w:rsidR="00732FF3" w:rsidRPr="00732FF3" w:rsidRDefault="005E6F5D" w:rsidP="00732FF3">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r>
        <w:rPr>
          <w:rFonts w:asciiTheme="minorHAnsi" w:hAnsiTheme="minorHAnsi" w:cstheme="minorHAnsi"/>
          <w:bCs/>
          <w:i/>
          <w:sz w:val="22"/>
          <w:szCs w:val="22"/>
        </w:rPr>
        <w:t>« </w:t>
      </w:r>
      <w:r w:rsidR="00A41FC4" w:rsidRPr="006E3CAB">
        <w:rPr>
          <w:rFonts w:asciiTheme="minorHAnsi" w:hAnsiTheme="minorHAnsi" w:cstheme="minorHAnsi"/>
          <w:bCs/>
          <w:i/>
          <w:sz w:val="22"/>
          <w:szCs w:val="22"/>
        </w:rPr>
        <w:t> </w:t>
      </w:r>
      <w:r w:rsidR="00732FF3" w:rsidRPr="00732FF3">
        <w:rPr>
          <w:rFonts w:asciiTheme="minorHAnsi" w:hAnsiTheme="minorHAnsi" w:cstheme="minorHAnsi"/>
          <w:bCs/>
          <w:i/>
          <w:sz w:val="22"/>
          <w:szCs w:val="22"/>
        </w:rPr>
        <w:t>Pour l'application du présent décret, il y a lieu d'entendre par:</w:t>
      </w:r>
    </w:p>
    <w:p w14:paraId="76788EC3" w14:textId="29F2EE90" w:rsidR="00732FF3" w:rsidRPr="00732FF3" w:rsidRDefault="00B443A0" w:rsidP="00732FF3">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r>
        <w:rPr>
          <w:rFonts w:asciiTheme="minorHAnsi" w:hAnsiTheme="minorHAnsi" w:cstheme="minorHAnsi"/>
          <w:bCs/>
          <w:i/>
          <w:sz w:val="22"/>
          <w:szCs w:val="22"/>
        </w:rPr>
        <w:t>(…)</w:t>
      </w:r>
    </w:p>
    <w:p w14:paraId="0A09B45F" w14:textId="77777777" w:rsidR="00732FF3" w:rsidRPr="00732FF3" w:rsidRDefault="00732FF3" w:rsidP="00732FF3">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r w:rsidRPr="00732FF3">
        <w:rPr>
          <w:rFonts w:asciiTheme="minorHAnsi" w:hAnsiTheme="minorHAnsi" w:cstheme="minorHAnsi"/>
          <w:bCs/>
          <w:i/>
          <w:sz w:val="22"/>
          <w:szCs w:val="22"/>
        </w:rPr>
        <w:t>3° « Centre »: le Centre interfédéral pour l'égalité des chances et la lutte contre le racisme et les discriminations, créé par l'accord de coopération du 12 juin 2013;</w:t>
      </w:r>
    </w:p>
    <w:p w14:paraId="3456C086" w14:textId="77777777" w:rsidR="00732FF3" w:rsidRPr="00732FF3" w:rsidRDefault="00732FF3" w:rsidP="00732FF3">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p>
    <w:p w14:paraId="7F249484" w14:textId="47C5209D" w:rsidR="00732FF3" w:rsidRPr="00732FF3" w:rsidRDefault="00732FF3" w:rsidP="00732FF3">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r w:rsidRPr="00732FF3">
        <w:rPr>
          <w:rFonts w:asciiTheme="minorHAnsi" w:hAnsiTheme="minorHAnsi" w:cstheme="minorHAnsi"/>
          <w:bCs/>
          <w:i/>
          <w:sz w:val="22"/>
          <w:szCs w:val="22"/>
        </w:rPr>
        <w:t xml:space="preserve">5° : " les critères protégés " : la nationalité, une prétendue race, la couleur de peau, l'ascendance, l'origine nationale ou ethnique, l'âge, le sexe, la grossesse, l'accouchement, l'allaitement, la maternité, la paternité, la coparentalité, l'adoption, la procréation médicalement assistée, la transition médicale ou sociale, l'identité de genre et l'expression de genre, l'orientation sexuelle, l'état civil, la composition de ménage, la naissance, la fortune, la conviction religieuse ou philosophique, la conviction politique, la conviction syndicale, la langue, l'état de santé, un </w:t>
      </w:r>
      <w:r w:rsidRPr="00B443A0">
        <w:rPr>
          <w:rFonts w:asciiTheme="minorHAnsi" w:hAnsiTheme="minorHAnsi" w:cstheme="minorHAnsi"/>
          <w:b/>
          <w:i/>
          <w:sz w:val="22"/>
          <w:szCs w:val="22"/>
        </w:rPr>
        <w:t>handicap</w:t>
      </w:r>
      <w:r w:rsidRPr="00732FF3">
        <w:rPr>
          <w:rFonts w:asciiTheme="minorHAnsi" w:hAnsiTheme="minorHAnsi" w:cstheme="minorHAnsi"/>
          <w:bCs/>
          <w:i/>
          <w:sz w:val="22"/>
          <w:szCs w:val="22"/>
        </w:rPr>
        <w:t xml:space="preserve">, une caractéristique physique ou génétique ou l'origine, la condition sociale, le congé thématique, </w:t>
      </w:r>
      <w:r w:rsidRPr="00660326">
        <w:rPr>
          <w:rFonts w:asciiTheme="minorHAnsi" w:hAnsiTheme="minorHAnsi" w:cstheme="minorHAnsi"/>
          <w:b/>
          <w:i/>
          <w:sz w:val="22"/>
          <w:szCs w:val="22"/>
        </w:rPr>
        <w:t>les formules souple</w:t>
      </w:r>
      <w:r w:rsidR="00493FE5">
        <w:rPr>
          <w:rFonts w:asciiTheme="minorHAnsi" w:hAnsiTheme="minorHAnsi" w:cstheme="minorHAnsi"/>
          <w:b/>
          <w:i/>
          <w:sz w:val="22"/>
          <w:szCs w:val="22"/>
        </w:rPr>
        <w:t>s</w:t>
      </w:r>
      <w:r w:rsidRPr="00660326">
        <w:rPr>
          <w:rFonts w:asciiTheme="minorHAnsi" w:hAnsiTheme="minorHAnsi" w:cstheme="minorHAnsi"/>
          <w:b/>
          <w:i/>
          <w:sz w:val="22"/>
          <w:szCs w:val="22"/>
        </w:rPr>
        <w:t xml:space="preserve"> de travail</w:t>
      </w:r>
      <w:r w:rsidRPr="00732FF3">
        <w:rPr>
          <w:rFonts w:asciiTheme="minorHAnsi" w:hAnsiTheme="minorHAnsi" w:cstheme="minorHAnsi"/>
          <w:bCs/>
          <w:i/>
          <w:sz w:val="22"/>
          <w:szCs w:val="22"/>
        </w:rPr>
        <w:t xml:space="preserve"> et l'absence pour force majeure; </w:t>
      </w:r>
    </w:p>
    <w:p w14:paraId="396282DD" w14:textId="77777777" w:rsidR="00732FF3" w:rsidRPr="00732FF3" w:rsidRDefault="00732FF3" w:rsidP="00732FF3">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p>
    <w:p w14:paraId="13433C51" w14:textId="77777777" w:rsidR="00732FF3" w:rsidRPr="00732FF3" w:rsidRDefault="00732FF3" w:rsidP="00732FF3">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r w:rsidRPr="00732FF3">
        <w:rPr>
          <w:rFonts w:asciiTheme="minorHAnsi" w:hAnsiTheme="minorHAnsi" w:cstheme="minorHAnsi"/>
          <w:bCs/>
          <w:i/>
          <w:sz w:val="22"/>
          <w:szCs w:val="22"/>
        </w:rPr>
        <w:t>6° « distinction directe »: la situation qui se produit lorsque, sur la base de l'un ou plusieurs des critères protégés personnels ou attribués par association, une personne est traitée de manière moins favorable qu'une autre personne ne l'est, ne l'a été ou ne le serait dans une situation comparable;</w:t>
      </w:r>
    </w:p>
    <w:p w14:paraId="156DB5B6" w14:textId="77777777" w:rsidR="00732FF3" w:rsidRPr="00732FF3" w:rsidRDefault="00732FF3" w:rsidP="00732FF3">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p>
    <w:p w14:paraId="2CE0C921" w14:textId="77777777" w:rsidR="00732FF3" w:rsidRPr="00732FF3" w:rsidRDefault="00732FF3" w:rsidP="00732FF3">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r w:rsidRPr="00732FF3">
        <w:rPr>
          <w:rFonts w:asciiTheme="minorHAnsi" w:hAnsiTheme="minorHAnsi" w:cstheme="minorHAnsi"/>
          <w:bCs/>
          <w:i/>
          <w:sz w:val="22"/>
          <w:szCs w:val="22"/>
        </w:rPr>
        <w:t>7° « discrimination directe »: la distinction directe, fondée sur l'un ou plusieurs des critères protégés (...), qui ne peut être justifiée sur la base des dispositions du chapitre  IV ;</w:t>
      </w:r>
    </w:p>
    <w:p w14:paraId="4690D1CD" w14:textId="77777777" w:rsidR="00732FF3" w:rsidRPr="00732FF3" w:rsidRDefault="00732FF3" w:rsidP="00732FF3">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p>
    <w:p w14:paraId="3CCD8502" w14:textId="2C7DD3E1" w:rsidR="00732FF3" w:rsidRPr="00732FF3" w:rsidRDefault="00732FF3" w:rsidP="00732FF3">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r w:rsidRPr="00732FF3">
        <w:rPr>
          <w:rFonts w:asciiTheme="minorHAnsi" w:hAnsiTheme="minorHAnsi" w:cstheme="minorHAnsi"/>
          <w:bCs/>
          <w:i/>
          <w:sz w:val="22"/>
          <w:szCs w:val="22"/>
        </w:rPr>
        <w:t xml:space="preserve">8° « distinction indirecte »: la situation qui se produit lorsqu'une disposition, un critère ou une pratique apparemment neutre est susceptible d'entraîner, par rapport à d'autres personnes, un désavantage particulier pour des personnes caractérisées par l'un ou plusieurs des critères protégés personnels ou </w:t>
      </w:r>
      <w:r w:rsidR="00004057" w:rsidRPr="00732FF3">
        <w:rPr>
          <w:rFonts w:asciiTheme="minorHAnsi" w:hAnsiTheme="minorHAnsi" w:cstheme="minorHAnsi"/>
          <w:bCs/>
          <w:i/>
          <w:sz w:val="22"/>
          <w:szCs w:val="22"/>
        </w:rPr>
        <w:t>attribués</w:t>
      </w:r>
      <w:r w:rsidRPr="00732FF3">
        <w:rPr>
          <w:rFonts w:asciiTheme="minorHAnsi" w:hAnsiTheme="minorHAnsi" w:cstheme="minorHAnsi"/>
          <w:bCs/>
          <w:i/>
          <w:sz w:val="22"/>
          <w:szCs w:val="22"/>
        </w:rPr>
        <w:t xml:space="preserve"> par association ;</w:t>
      </w:r>
    </w:p>
    <w:p w14:paraId="337467E8" w14:textId="77777777" w:rsidR="00732FF3" w:rsidRPr="00732FF3" w:rsidRDefault="00732FF3" w:rsidP="00732FF3">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p>
    <w:p w14:paraId="13C30261" w14:textId="77777777" w:rsidR="00732FF3" w:rsidRPr="00732FF3" w:rsidRDefault="00732FF3" w:rsidP="00732FF3">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r w:rsidRPr="00732FF3">
        <w:rPr>
          <w:rFonts w:asciiTheme="minorHAnsi" w:hAnsiTheme="minorHAnsi" w:cstheme="minorHAnsi"/>
          <w:bCs/>
          <w:i/>
          <w:sz w:val="22"/>
          <w:szCs w:val="22"/>
        </w:rPr>
        <w:t>9° « discrimination indirecte »: la distinction indirecte, fondée sur l'un ou plusieurs des critères protégés (...), qui ne peut être justifiée sur la base des dispositions du chapitre  V ;</w:t>
      </w:r>
    </w:p>
    <w:p w14:paraId="3B3F0793" w14:textId="77777777" w:rsidR="00732FF3" w:rsidRPr="00732FF3" w:rsidRDefault="00732FF3" w:rsidP="00732FF3">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p>
    <w:p w14:paraId="67D56EF4" w14:textId="1033DA9C" w:rsidR="00732FF3" w:rsidRDefault="00004057" w:rsidP="00732FF3">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r>
        <w:rPr>
          <w:rFonts w:asciiTheme="minorHAnsi" w:hAnsiTheme="minorHAnsi" w:cstheme="minorHAnsi"/>
          <w:bCs/>
          <w:i/>
          <w:sz w:val="22"/>
          <w:szCs w:val="22"/>
        </w:rPr>
        <w:t>(…)</w:t>
      </w:r>
    </w:p>
    <w:p w14:paraId="52566A46" w14:textId="77777777" w:rsidR="00732FF3" w:rsidRPr="00732FF3" w:rsidRDefault="00732FF3" w:rsidP="00004057">
      <w:pPr>
        <w:pStyle w:val="Corpsdetexte"/>
        <w:tabs>
          <w:tab w:val="right" w:pos="7088"/>
        </w:tabs>
        <w:spacing w:before="100" w:beforeAutospacing="1" w:after="100" w:afterAutospacing="1"/>
        <w:contextualSpacing/>
        <w:rPr>
          <w:rFonts w:asciiTheme="minorHAnsi" w:hAnsiTheme="minorHAnsi" w:cstheme="minorHAnsi"/>
          <w:bCs/>
          <w:i/>
          <w:sz w:val="22"/>
          <w:szCs w:val="22"/>
        </w:rPr>
      </w:pPr>
    </w:p>
    <w:p w14:paraId="73EBC1E0" w14:textId="77777777" w:rsidR="00E475D2" w:rsidRDefault="00732FF3" w:rsidP="00004057">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r w:rsidRPr="00732FF3">
        <w:rPr>
          <w:rFonts w:asciiTheme="minorHAnsi" w:hAnsiTheme="minorHAnsi" w:cstheme="minorHAnsi"/>
          <w:bCs/>
          <w:i/>
          <w:sz w:val="22"/>
          <w:szCs w:val="22"/>
        </w:rPr>
        <w:t>13° « aménagements raisonnables »: les mesures appropriées, prises en fonction des besoins dans une situation concrète, pour permettre à une personne</w:t>
      </w:r>
      <w:r w:rsidR="00004057">
        <w:rPr>
          <w:rFonts w:asciiTheme="minorHAnsi" w:hAnsiTheme="minorHAnsi" w:cstheme="minorHAnsi"/>
          <w:bCs/>
          <w:i/>
          <w:sz w:val="22"/>
          <w:szCs w:val="22"/>
        </w:rPr>
        <w:t xml:space="preserve"> </w:t>
      </w:r>
      <w:r w:rsidRPr="00004057">
        <w:rPr>
          <w:rFonts w:asciiTheme="minorHAnsi" w:hAnsiTheme="minorHAnsi" w:cstheme="minorHAnsi"/>
          <w:b/>
          <w:i/>
          <w:sz w:val="22"/>
          <w:szCs w:val="22"/>
        </w:rPr>
        <w:t>en situation de handicap</w:t>
      </w:r>
      <w:r w:rsidRPr="00732FF3">
        <w:rPr>
          <w:rFonts w:asciiTheme="minorHAnsi" w:hAnsiTheme="minorHAnsi" w:cstheme="minorHAnsi"/>
          <w:bCs/>
          <w:i/>
          <w:sz w:val="22"/>
          <w:szCs w:val="22"/>
        </w:rPr>
        <w:t xml:space="preserve"> d'accéder, de participer et de progresser dans les domaines pour lesquels le présent décret est d'application, </w:t>
      </w:r>
      <w:r w:rsidRPr="00D85C65">
        <w:rPr>
          <w:rFonts w:asciiTheme="minorHAnsi" w:hAnsiTheme="minorHAnsi" w:cstheme="minorHAnsi"/>
          <w:b/>
          <w:i/>
          <w:sz w:val="22"/>
          <w:szCs w:val="22"/>
        </w:rPr>
        <w:t>sauf si ces mesures imposent à l'égard de la personne qui doit les adopter une charge disproportionnée</w:t>
      </w:r>
      <w:r w:rsidRPr="00732FF3">
        <w:rPr>
          <w:rFonts w:asciiTheme="minorHAnsi" w:hAnsiTheme="minorHAnsi" w:cstheme="minorHAnsi"/>
          <w:bCs/>
          <w:i/>
          <w:sz w:val="22"/>
          <w:szCs w:val="22"/>
        </w:rPr>
        <w:t>. Cette charge n'est pas disproportionnée lorsqu'elle est compensée de façon suffisante par des mesures existant dans le cadre de la politique publique menée concernant les personnes en situation de handicap</w:t>
      </w:r>
      <w:r w:rsidR="00004057">
        <w:rPr>
          <w:rFonts w:asciiTheme="minorHAnsi" w:hAnsiTheme="minorHAnsi" w:cstheme="minorHAnsi"/>
          <w:bCs/>
          <w:i/>
          <w:sz w:val="22"/>
          <w:szCs w:val="22"/>
        </w:rPr>
        <w:t> ;</w:t>
      </w:r>
    </w:p>
    <w:p w14:paraId="4FD0A955" w14:textId="77777777" w:rsidR="00E475D2" w:rsidRDefault="00E475D2" w:rsidP="00004057">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p>
    <w:p w14:paraId="59154155" w14:textId="77777777" w:rsidR="00E475D2" w:rsidRDefault="00E475D2" w:rsidP="00004057">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r>
        <w:rPr>
          <w:rFonts w:asciiTheme="minorHAnsi" w:hAnsiTheme="minorHAnsi" w:cstheme="minorHAnsi"/>
          <w:bCs/>
          <w:i/>
          <w:sz w:val="22"/>
          <w:szCs w:val="22"/>
        </w:rPr>
        <w:t>(…)</w:t>
      </w:r>
    </w:p>
    <w:p w14:paraId="6339766F" w14:textId="77777777" w:rsidR="00E475D2" w:rsidRDefault="00E475D2" w:rsidP="00004057">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p>
    <w:p w14:paraId="4B36EC01" w14:textId="394036DD" w:rsidR="00A41FC4" w:rsidRPr="006E3CAB" w:rsidRDefault="00E475D2" w:rsidP="00004057">
      <w:pPr>
        <w:pStyle w:val="Corpsdetexte"/>
        <w:tabs>
          <w:tab w:val="right" w:pos="7088"/>
        </w:tabs>
        <w:spacing w:before="100" w:beforeAutospacing="1" w:after="100" w:afterAutospacing="1"/>
        <w:ind w:left="284"/>
        <w:contextualSpacing/>
        <w:rPr>
          <w:rFonts w:asciiTheme="minorHAnsi" w:hAnsiTheme="minorHAnsi" w:cstheme="minorHAnsi"/>
          <w:bCs/>
          <w:i/>
          <w:sz w:val="22"/>
          <w:szCs w:val="22"/>
        </w:rPr>
      </w:pPr>
      <w:r>
        <w:rPr>
          <w:rFonts w:asciiTheme="minorHAnsi" w:hAnsiTheme="minorHAnsi" w:cstheme="minorHAnsi"/>
          <w:bCs/>
          <w:i/>
          <w:iCs/>
          <w:sz w:val="22"/>
          <w:szCs w:val="22"/>
          <w:lang w:val="fr-BE"/>
        </w:rPr>
        <w:t>1</w:t>
      </w:r>
      <w:r w:rsidRPr="00E475D2">
        <w:rPr>
          <w:rFonts w:asciiTheme="minorHAnsi" w:hAnsiTheme="minorHAnsi" w:cstheme="minorHAnsi"/>
          <w:bCs/>
          <w:i/>
          <w:iCs/>
          <w:sz w:val="22"/>
          <w:szCs w:val="22"/>
          <w:lang w:val="fr-BE"/>
        </w:rPr>
        <w:t xml:space="preserve">9° : " les formules souples de travail " : la possibilité pour les travailleurs d'aménager leurs régimes de travail, y compris par le recours au travail à distance, à des horaires de travail souples ou à une </w:t>
      </w:r>
      <w:r w:rsidRPr="00A9372F">
        <w:rPr>
          <w:rFonts w:asciiTheme="minorHAnsi" w:hAnsiTheme="minorHAnsi" w:cstheme="minorHAnsi"/>
          <w:bCs/>
          <w:i/>
          <w:iCs/>
          <w:sz w:val="22"/>
          <w:szCs w:val="22"/>
          <w:lang w:val="fr-BE"/>
        </w:rPr>
        <w:t>réduction du temps de travail</w:t>
      </w:r>
      <w:r w:rsidRPr="00E475D2">
        <w:rPr>
          <w:rFonts w:asciiTheme="minorHAnsi" w:hAnsiTheme="minorHAnsi" w:cstheme="minorHAnsi"/>
          <w:bCs/>
          <w:i/>
          <w:iCs/>
          <w:sz w:val="22"/>
          <w:szCs w:val="22"/>
          <w:lang w:val="fr-BE"/>
        </w:rPr>
        <w:t>;</w:t>
      </w:r>
      <w:r w:rsidR="005E6F5D">
        <w:rPr>
          <w:rFonts w:asciiTheme="minorHAnsi" w:hAnsiTheme="minorHAnsi" w:cstheme="minorHAnsi"/>
          <w:bCs/>
          <w:i/>
          <w:sz w:val="22"/>
          <w:szCs w:val="22"/>
        </w:rPr>
        <w:t> »</w:t>
      </w:r>
    </w:p>
    <w:p w14:paraId="36190DF5" w14:textId="77777777" w:rsidR="00B4022D" w:rsidRPr="00136D96" w:rsidRDefault="00B4022D" w:rsidP="00136D96">
      <w:pPr>
        <w:pStyle w:val="Corpsdetexte"/>
        <w:tabs>
          <w:tab w:val="right" w:pos="7088"/>
        </w:tabs>
        <w:spacing w:before="100" w:beforeAutospacing="1" w:after="100" w:afterAutospacing="1"/>
        <w:contextualSpacing/>
        <w:rPr>
          <w:rFonts w:asciiTheme="minorHAnsi" w:hAnsiTheme="minorHAnsi" w:cstheme="minorHAnsi"/>
          <w:bCs/>
          <w:iCs/>
          <w:color w:val="000000"/>
          <w:sz w:val="22"/>
          <w:szCs w:val="22"/>
        </w:rPr>
      </w:pPr>
    </w:p>
    <w:p w14:paraId="47DED116" w14:textId="7651FCBC" w:rsidR="00136D96" w:rsidRPr="00136D96" w:rsidRDefault="00136D96" w:rsidP="00136D96">
      <w:pPr>
        <w:pStyle w:val="Corpsdetexte"/>
        <w:tabs>
          <w:tab w:val="right" w:pos="7088"/>
        </w:tabs>
        <w:spacing w:before="100" w:beforeAutospacing="1" w:after="100" w:afterAutospacing="1"/>
        <w:contextualSpacing/>
        <w:rPr>
          <w:rFonts w:asciiTheme="minorHAnsi" w:hAnsiTheme="minorHAnsi" w:cstheme="minorHAnsi"/>
          <w:bCs/>
          <w:iCs/>
          <w:color w:val="000000"/>
          <w:sz w:val="22"/>
          <w:szCs w:val="22"/>
        </w:rPr>
      </w:pPr>
      <w:r w:rsidRPr="00136D96">
        <w:rPr>
          <w:rFonts w:asciiTheme="minorHAnsi" w:hAnsiTheme="minorHAnsi" w:cstheme="minorHAnsi"/>
          <w:bCs/>
          <w:iCs/>
          <w:color w:val="000000"/>
          <w:sz w:val="22"/>
          <w:szCs w:val="22"/>
        </w:rPr>
        <w:t xml:space="preserve">La justification dans le cadre des distinctions directes est organisée par l’article 7 </w:t>
      </w:r>
      <w:r w:rsidR="00783C4D">
        <w:rPr>
          <w:rFonts w:asciiTheme="minorHAnsi" w:hAnsiTheme="minorHAnsi" w:cstheme="minorHAnsi"/>
          <w:bCs/>
          <w:iCs/>
          <w:color w:val="000000"/>
          <w:sz w:val="22"/>
          <w:szCs w:val="22"/>
        </w:rPr>
        <w:t xml:space="preserve">§2 </w:t>
      </w:r>
      <w:r w:rsidRPr="00136D96">
        <w:rPr>
          <w:rFonts w:asciiTheme="minorHAnsi" w:hAnsiTheme="minorHAnsi" w:cstheme="minorHAnsi"/>
          <w:bCs/>
          <w:iCs/>
          <w:color w:val="000000"/>
          <w:sz w:val="22"/>
          <w:szCs w:val="22"/>
        </w:rPr>
        <w:t xml:space="preserve">qui précise :  </w:t>
      </w:r>
    </w:p>
    <w:p w14:paraId="4A08269D" w14:textId="77777777" w:rsidR="00136D96" w:rsidRPr="00136D96" w:rsidRDefault="00136D96" w:rsidP="00136D96">
      <w:pPr>
        <w:pStyle w:val="Corpsdetexte"/>
        <w:tabs>
          <w:tab w:val="right" w:pos="7088"/>
        </w:tabs>
        <w:spacing w:before="100" w:beforeAutospacing="1" w:after="100" w:afterAutospacing="1"/>
        <w:contextualSpacing/>
        <w:rPr>
          <w:rFonts w:asciiTheme="minorHAnsi" w:hAnsiTheme="minorHAnsi" w:cstheme="minorHAnsi"/>
          <w:bCs/>
          <w:iCs/>
          <w:color w:val="000000"/>
          <w:sz w:val="22"/>
          <w:szCs w:val="22"/>
        </w:rPr>
      </w:pPr>
    </w:p>
    <w:p w14:paraId="35BE24E9" w14:textId="2F9E5216" w:rsidR="00136D96" w:rsidRPr="00783C4D" w:rsidRDefault="00136D96" w:rsidP="00136D96">
      <w:pPr>
        <w:pStyle w:val="Corpsdetexte"/>
        <w:tabs>
          <w:tab w:val="right" w:pos="7088"/>
        </w:tabs>
        <w:spacing w:before="100" w:beforeAutospacing="1" w:after="100" w:afterAutospacing="1"/>
        <w:ind w:left="426"/>
        <w:contextualSpacing/>
        <w:rPr>
          <w:rFonts w:asciiTheme="minorHAnsi" w:hAnsiTheme="minorHAnsi" w:cstheme="minorHAnsi"/>
          <w:bCs/>
          <w:iCs/>
          <w:color w:val="000000"/>
          <w:sz w:val="22"/>
          <w:szCs w:val="22"/>
          <w:lang w:val="fr-BE"/>
        </w:rPr>
      </w:pPr>
      <w:r w:rsidRPr="00136D96">
        <w:rPr>
          <w:rFonts w:asciiTheme="minorHAnsi" w:hAnsiTheme="minorHAnsi" w:cstheme="minorHAnsi"/>
          <w:bCs/>
          <w:iCs/>
          <w:color w:val="000000"/>
          <w:sz w:val="22"/>
          <w:szCs w:val="22"/>
        </w:rPr>
        <w:t>« </w:t>
      </w:r>
      <w:r w:rsidR="00783C4D" w:rsidRPr="00783C4D">
        <w:rPr>
          <w:rFonts w:asciiTheme="minorHAnsi" w:hAnsiTheme="minorHAnsi" w:cstheme="minorHAnsi"/>
          <w:bCs/>
          <w:i/>
          <w:iCs/>
          <w:color w:val="000000"/>
          <w:sz w:val="22"/>
          <w:szCs w:val="22"/>
          <w:lang w:val="fr-BE"/>
        </w:rPr>
        <w:t>Toute distinction directe fondée sur la nationalité ou sur l'un ou plusieurs des critères protégés visé à l'article 3, 3°, constitue une discrimination directe, à moins que cette distinction directe ne soit objectivement justifiée par un but légitime et que les moyens de réaliser ce but soient appropriés et nécessaires.</w:t>
      </w:r>
      <w:r w:rsidR="00783C4D">
        <w:rPr>
          <w:rFonts w:asciiTheme="minorHAnsi" w:hAnsiTheme="minorHAnsi" w:cstheme="minorHAnsi"/>
          <w:bCs/>
          <w:i/>
          <w:iCs/>
          <w:color w:val="000000"/>
          <w:sz w:val="22"/>
          <w:szCs w:val="22"/>
          <w:lang w:val="fr-BE"/>
        </w:rPr>
        <w:t> »</w:t>
      </w:r>
    </w:p>
    <w:p w14:paraId="5A9ACA3F" w14:textId="243443EF" w:rsidR="00136D96" w:rsidRPr="00136D96" w:rsidRDefault="00136D96" w:rsidP="00136D96">
      <w:pPr>
        <w:pStyle w:val="Corpsdetexte"/>
        <w:tabs>
          <w:tab w:val="right" w:pos="7088"/>
        </w:tabs>
        <w:spacing w:before="100" w:beforeAutospacing="1" w:after="100" w:afterAutospacing="1"/>
        <w:contextualSpacing/>
        <w:rPr>
          <w:rFonts w:asciiTheme="minorHAnsi" w:hAnsiTheme="minorHAnsi" w:cstheme="minorHAnsi"/>
          <w:bCs/>
          <w:iCs/>
          <w:color w:val="000000"/>
          <w:sz w:val="22"/>
          <w:szCs w:val="22"/>
        </w:rPr>
      </w:pPr>
    </w:p>
    <w:p w14:paraId="67FBF7B1" w14:textId="77777777" w:rsidR="00136D96" w:rsidRPr="00136D96" w:rsidRDefault="00136D96" w:rsidP="00136D96">
      <w:pPr>
        <w:pStyle w:val="Corpsdetexte"/>
        <w:tabs>
          <w:tab w:val="right" w:pos="7088"/>
        </w:tabs>
        <w:spacing w:before="100" w:beforeAutospacing="1" w:after="100" w:afterAutospacing="1"/>
        <w:contextualSpacing/>
        <w:rPr>
          <w:rFonts w:asciiTheme="minorHAnsi" w:hAnsiTheme="minorHAnsi" w:cstheme="minorHAnsi"/>
          <w:bCs/>
          <w:iCs/>
          <w:color w:val="000000"/>
          <w:sz w:val="22"/>
          <w:szCs w:val="22"/>
        </w:rPr>
      </w:pPr>
      <w:r w:rsidRPr="00136D96">
        <w:rPr>
          <w:rFonts w:asciiTheme="minorHAnsi" w:hAnsiTheme="minorHAnsi" w:cstheme="minorHAnsi"/>
          <w:bCs/>
          <w:iCs/>
          <w:color w:val="000000"/>
          <w:sz w:val="22"/>
          <w:szCs w:val="22"/>
        </w:rPr>
        <w:t xml:space="preserve">La justification dans le cadre des distinctions indirectes est organisée par l’article 9 qui précise :  </w:t>
      </w:r>
    </w:p>
    <w:p w14:paraId="485A3178" w14:textId="77777777" w:rsidR="00136D96" w:rsidRPr="00136D96" w:rsidRDefault="00136D96" w:rsidP="00136D96">
      <w:pPr>
        <w:pStyle w:val="Corpsdetexte"/>
        <w:tabs>
          <w:tab w:val="right" w:pos="7088"/>
        </w:tabs>
        <w:spacing w:before="100" w:beforeAutospacing="1" w:after="100" w:afterAutospacing="1"/>
        <w:ind w:left="426"/>
        <w:contextualSpacing/>
        <w:rPr>
          <w:rFonts w:asciiTheme="minorHAnsi" w:hAnsiTheme="minorHAnsi" w:cstheme="minorHAnsi"/>
          <w:bCs/>
          <w:iCs/>
          <w:color w:val="000000"/>
          <w:sz w:val="22"/>
          <w:szCs w:val="22"/>
        </w:rPr>
      </w:pPr>
    </w:p>
    <w:p w14:paraId="47546445" w14:textId="7DB233E3" w:rsidR="00A41FC4" w:rsidRDefault="00136D96" w:rsidP="000C4F66">
      <w:pPr>
        <w:pStyle w:val="Corpsdetexte"/>
        <w:tabs>
          <w:tab w:val="right" w:pos="7088"/>
        </w:tabs>
        <w:spacing w:before="100" w:beforeAutospacing="1" w:after="100" w:afterAutospacing="1"/>
        <w:ind w:left="426"/>
        <w:contextualSpacing/>
        <w:rPr>
          <w:rFonts w:asciiTheme="minorHAnsi" w:hAnsiTheme="minorHAnsi" w:cstheme="minorHAnsi"/>
          <w:bCs/>
          <w:i/>
          <w:color w:val="000000"/>
          <w:sz w:val="22"/>
          <w:szCs w:val="22"/>
        </w:rPr>
      </w:pPr>
      <w:r w:rsidRPr="00136D96">
        <w:rPr>
          <w:rFonts w:asciiTheme="minorHAnsi" w:hAnsiTheme="minorHAnsi" w:cstheme="minorHAnsi"/>
          <w:bCs/>
          <w:iCs/>
          <w:color w:val="000000"/>
          <w:sz w:val="22"/>
          <w:szCs w:val="22"/>
        </w:rPr>
        <w:t>« </w:t>
      </w:r>
      <w:r w:rsidR="000C4F66" w:rsidRPr="000C4F66">
        <w:rPr>
          <w:rFonts w:asciiTheme="minorHAnsi" w:hAnsiTheme="minorHAnsi" w:cstheme="minorHAnsi"/>
          <w:bCs/>
          <w:i/>
          <w:color w:val="000000"/>
          <w:sz w:val="22"/>
          <w:szCs w:val="22"/>
          <w:lang w:val="fr-BE"/>
        </w:rPr>
        <w:t xml:space="preserve">Toute distinction indirecte fondée sur l'un ou plusieurs des critères protégés constitue une discrimination indirecte à moins que la disposition, le critère ou la pratique apparemment neutres qui sont au fondement de cette distinction indirecte soient objectivement justifiés par un but légitime et que les moyens de réaliser ce but soient appropriés et nécessaires </w:t>
      </w:r>
      <w:r w:rsidR="000C4F66" w:rsidRPr="00D91C42">
        <w:rPr>
          <w:rFonts w:asciiTheme="minorHAnsi" w:hAnsiTheme="minorHAnsi" w:cstheme="minorHAnsi"/>
          <w:bCs/>
          <w:i/>
          <w:color w:val="000000"/>
          <w:sz w:val="22"/>
          <w:szCs w:val="22"/>
          <w:u w:val="single"/>
          <w:lang w:val="fr-BE"/>
        </w:rPr>
        <w:t>ou</w:t>
      </w:r>
      <w:r w:rsidR="000C4F66" w:rsidRPr="000C4F66">
        <w:rPr>
          <w:rFonts w:asciiTheme="minorHAnsi" w:hAnsiTheme="minorHAnsi" w:cstheme="minorHAnsi"/>
          <w:bCs/>
          <w:i/>
          <w:color w:val="000000"/>
          <w:sz w:val="22"/>
          <w:szCs w:val="22"/>
          <w:lang w:val="fr-BE"/>
        </w:rPr>
        <w:t xml:space="preserve"> à moins que, en cas de distinction indirecte </w:t>
      </w:r>
      <w:r w:rsidR="000C4F66" w:rsidRPr="00D91C42">
        <w:rPr>
          <w:rFonts w:asciiTheme="minorHAnsi" w:hAnsiTheme="minorHAnsi" w:cstheme="minorHAnsi"/>
          <w:b/>
          <w:i/>
          <w:color w:val="000000"/>
          <w:sz w:val="22"/>
          <w:szCs w:val="22"/>
          <w:lang w:val="fr-BE"/>
        </w:rPr>
        <w:t>sur la base d'un handicap</w:t>
      </w:r>
      <w:r w:rsidR="000C4F66" w:rsidRPr="000C4F66">
        <w:rPr>
          <w:rFonts w:asciiTheme="minorHAnsi" w:hAnsiTheme="minorHAnsi" w:cstheme="minorHAnsi"/>
          <w:bCs/>
          <w:i/>
          <w:color w:val="000000"/>
          <w:sz w:val="22"/>
          <w:szCs w:val="22"/>
          <w:lang w:val="fr-BE"/>
        </w:rPr>
        <w:t>, il soit démontré qu'aucun aménagement raisonnable ne peut être mis en place</w:t>
      </w:r>
      <w:r w:rsidR="000C4F66" w:rsidRPr="000C4F66">
        <w:rPr>
          <w:rFonts w:asciiTheme="minorHAnsi" w:hAnsiTheme="minorHAnsi" w:cstheme="minorHAnsi"/>
          <w:bCs/>
          <w:iCs/>
          <w:color w:val="000000"/>
          <w:sz w:val="22"/>
          <w:szCs w:val="22"/>
          <w:lang w:val="fr-BE"/>
        </w:rPr>
        <w:t>.</w:t>
      </w:r>
      <w:r w:rsidRPr="00136D96">
        <w:rPr>
          <w:rFonts w:asciiTheme="minorHAnsi" w:hAnsiTheme="minorHAnsi" w:cstheme="minorHAnsi"/>
          <w:bCs/>
          <w:i/>
          <w:color w:val="000000"/>
          <w:sz w:val="22"/>
          <w:szCs w:val="22"/>
        </w:rPr>
        <w:t>»</w:t>
      </w:r>
    </w:p>
    <w:p w14:paraId="6967542E" w14:textId="77777777" w:rsidR="00136D96" w:rsidRDefault="00136D96" w:rsidP="00136D96">
      <w:pPr>
        <w:pStyle w:val="Corpsdetexte"/>
        <w:tabs>
          <w:tab w:val="right" w:pos="7088"/>
        </w:tabs>
        <w:spacing w:before="100" w:beforeAutospacing="1" w:after="100" w:afterAutospacing="1"/>
        <w:contextualSpacing/>
        <w:rPr>
          <w:rFonts w:asciiTheme="minorHAnsi" w:hAnsiTheme="minorHAnsi" w:cstheme="minorHAnsi"/>
          <w:bCs/>
          <w:iCs/>
          <w:color w:val="000000"/>
          <w:sz w:val="22"/>
          <w:szCs w:val="22"/>
        </w:rPr>
      </w:pPr>
    </w:p>
    <w:p w14:paraId="126C4914" w14:textId="13E87241" w:rsidR="00A41FC4" w:rsidRDefault="00D91C42" w:rsidP="00D368C9">
      <w:pPr>
        <w:pStyle w:val="Corpsdetexte"/>
        <w:tabs>
          <w:tab w:val="right" w:pos="7088"/>
        </w:tabs>
        <w:spacing w:before="100" w:beforeAutospacing="1" w:after="100" w:afterAutospacing="1"/>
        <w:contextualSpacing/>
        <w:rPr>
          <w:rFonts w:asciiTheme="minorHAnsi" w:hAnsiTheme="minorHAnsi" w:cstheme="minorHAnsi"/>
          <w:bCs/>
          <w:iCs/>
          <w:color w:val="000000"/>
          <w:sz w:val="22"/>
          <w:szCs w:val="22"/>
        </w:rPr>
      </w:pPr>
      <w:r>
        <w:rPr>
          <w:rFonts w:asciiTheme="minorHAnsi" w:hAnsiTheme="minorHAnsi" w:cstheme="minorHAnsi"/>
          <w:bCs/>
          <w:iCs/>
          <w:color w:val="000000"/>
          <w:sz w:val="22"/>
          <w:szCs w:val="22"/>
        </w:rPr>
        <w:t>Et cela est confirmé en ce que l</w:t>
      </w:r>
      <w:r w:rsidR="001864EA">
        <w:rPr>
          <w:rFonts w:asciiTheme="minorHAnsi" w:hAnsiTheme="minorHAnsi" w:cstheme="minorHAnsi"/>
          <w:bCs/>
          <w:iCs/>
          <w:color w:val="000000"/>
          <w:sz w:val="22"/>
          <w:szCs w:val="22"/>
        </w:rPr>
        <w:t>’article 1</w:t>
      </w:r>
      <w:r w:rsidR="00682811">
        <w:rPr>
          <w:rFonts w:asciiTheme="minorHAnsi" w:hAnsiTheme="minorHAnsi" w:cstheme="minorHAnsi"/>
          <w:bCs/>
          <w:iCs/>
          <w:color w:val="000000"/>
          <w:sz w:val="22"/>
          <w:szCs w:val="22"/>
        </w:rPr>
        <w:t>5, 6° du décret</w:t>
      </w:r>
      <w:r w:rsidR="001864EA">
        <w:rPr>
          <w:rFonts w:asciiTheme="minorHAnsi" w:hAnsiTheme="minorHAnsi" w:cstheme="minorHAnsi"/>
          <w:bCs/>
          <w:iCs/>
          <w:color w:val="000000"/>
          <w:sz w:val="22"/>
          <w:szCs w:val="22"/>
        </w:rPr>
        <w:t xml:space="preserve"> précise </w:t>
      </w:r>
      <w:r w:rsidR="001864EA" w:rsidRPr="001864EA">
        <w:rPr>
          <w:rFonts w:asciiTheme="minorHAnsi" w:hAnsiTheme="minorHAnsi" w:cstheme="minorHAnsi"/>
          <w:bCs/>
          <w:iCs/>
          <w:color w:val="000000"/>
          <w:sz w:val="22"/>
          <w:szCs w:val="22"/>
        </w:rPr>
        <w:t xml:space="preserve">que </w:t>
      </w:r>
      <w:r w:rsidR="00A41FC4" w:rsidRPr="001864EA">
        <w:rPr>
          <w:rFonts w:asciiTheme="minorHAnsi" w:hAnsiTheme="minorHAnsi" w:cstheme="minorHAnsi"/>
          <w:bCs/>
          <w:iCs/>
          <w:color w:val="000000"/>
          <w:sz w:val="22"/>
          <w:szCs w:val="22"/>
        </w:rPr>
        <w:t xml:space="preserve">la discrimination s'entend </w:t>
      </w:r>
      <w:r w:rsidR="001864EA" w:rsidRPr="001864EA">
        <w:rPr>
          <w:rFonts w:asciiTheme="minorHAnsi" w:hAnsiTheme="minorHAnsi" w:cstheme="minorHAnsi"/>
          <w:bCs/>
          <w:iCs/>
          <w:color w:val="000000"/>
          <w:sz w:val="22"/>
          <w:szCs w:val="22"/>
        </w:rPr>
        <w:t>également par un</w:t>
      </w:r>
      <w:r w:rsidR="00A41FC4" w:rsidRPr="001864EA">
        <w:rPr>
          <w:rFonts w:asciiTheme="minorHAnsi" w:hAnsiTheme="minorHAnsi" w:cstheme="minorHAnsi"/>
          <w:bCs/>
          <w:iCs/>
          <w:color w:val="000000"/>
          <w:sz w:val="22"/>
          <w:szCs w:val="22"/>
        </w:rPr>
        <w:t xml:space="preserve"> refus de mettre en place des aménagements raisonnables en faveur d'une personne handicapée.</w:t>
      </w:r>
    </w:p>
    <w:p w14:paraId="5F3C465A" w14:textId="77777777" w:rsidR="00A41FC4" w:rsidRDefault="00A41FC4" w:rsidP="00D368C9">
      <w:pPr>
        <w:pStyle w:val="Corpsdetexte"/>
        <w:tabs>
          <w:tab w:val="right" w:pos="7088"/>
        </w:tabs>
        <w:spacing w:before="100" w:beforeAutospacing="1" w:after="100" w:afterAutospacing="1"/>
        <w:contextualSpacing/>
        <w:rPr>
          <w:rFonts w:asciiTheme="minorHAnsi" w:hAnsiTheme="minorHAnsi" w:cstheme="minorHAnsi"/>
          <w:b/>
          <w:bCs/>
          <w:sz w:val="22"/>
          <w:szCs w:val="22"/>
        </w:rPr>
      </w:pPr>
    </w:p>
    <w:p w14:paraId="0DA24108" w14:textId="270D7BB3" w:rsidR="008A7989" w:rsidRDefault="008A7989" w:rsidP="00D368C9">
      <w:pPr>
        <w:pStyle w:val="Corpsdetexte"/>
        <w:tabs>
          <w:tab w:val="right" w:pos="7088"/>
        </w:tabs>
        <w:spacing w:before="100" w:beforeAutospacing="1" w:after="100" w:afterAutospacing="1"/>
        <w:contextualSpacing/>
        <w:rPr>
          <w:rFonts w:asciiTheme="minorHAnsi" w:hAnsiTheme="minorHAnsi" w:cstheme="minorHAnsi"/>
          <w:sz w:val="22"/>
          <w:szCs w:val="22"/>
          <w:lang w:val="fr-BE"/>
        </w:rPr>
      </w:pPr>
      <w:r w:rsidRPr="008A7989">
        <w:rPr>
          <w:rFonts w:asciiTheme="minorHAnsi" w:hAnsiTheme="minorHAnsi" w:cstheme="minorHAnsi"/>
          <w:sz w:val="22"/>
          <w:szCs w:val="22"/>
          <w:lang w:val="fr-BE"/>
        </w:rPr>
        <w:t>Le juge de la cessation peut faire cesser l’acte litigieux et imposer à son auteur une obligation de ne pas faire.</w:t>
      </w:r>
      <w:r w:rsidR="00BE0B9B">
        <w:rPr>
          <w:rFonts w:asciiTheme="minorHAnsi" w:hAnsiTheme="minorHAnsi" w:cstheme="minorHAnsi"/>
          <w:sz w:val="22"/>
          <w:szCs w:val="22"/>
          <w:lang w:val="fr-BE"/>
        </w:rPr>
        <w:t xml:space="preserve"> Cette prérogative est établie par</w:t>
      </w:r>
      <w:r w:rsidR="005B6E88">
        <w:rPr>
          <w:rFonts w:asciiTheme="minorHAnsi" w:hAnsiTheme="minorHAnsi" w:cstheme="minorHAnsi"/>
          <w:sz w:val="22"/>
          <w:szCs w:val="22"/>
          <w:lang w:val="fr-BE"/>
        </w:rPr>
        <w:t xml:space="preserve"> </w:t>
      </w:r>
      <w:r w:rsidR="00BE0B9B">
        <w:rPr>
          <w:rFonts w:asciiTheme="minorHAnsi" w:hAnsiTheme="minorHAnsi" w:cstheme="minorHAnsi"/>
          <w:sz w:val="22"/>
          <w:szCs w:val="22"/>
          <w:lang w:val="fr-BE"/>
        </w:rPr>
        <w:t>la loi :</w:t>
      </w:r>
    </w:p>
    <w:p w14:paraId="777AEEA6" w14:textId="77777777" w:rsidR="00BE0B9B" w:rsidRPr="008A7989" w:rsidRDefault="00BE0B9B" w:rsidP="00D368C9">
      <w:pPr>
        <w:pStyle w:val="Corpsdetexte"/>
        <w:tabs>
          <w:tab w:val="right" w:pos="7088"/>
        </w:tabs>
        <w:spacing w:before="100" w:beforeAutospacing="1" w:after="100" w:afterAutospacing="1"/>
        <w:contextualSpacing/>
        <w:rPr>
          <w:rFonts w:asciiTheme="minorHAnsi" w:hAnsiTheme="minorHAnsi" w:cstheme="minorHAnsi"/>
          <w:sz w:val="22"/>
          <w:szCs w:val="22"/>
          <w:lang w:val="fr-BE"/>
        </w:rPr>
      </w:pPr>
    </w:p>
    <w:p w14:paraId="4A3CE731" w14:textId="77777777" w:rsidR="00F957BD" w:rsidRPr="00F957BD" w:rsidRDefault="00F957BD" w:rsidP="00F957BD">
      <w:pPr>
        <w:pStyle w:val="Corpsdetexte"/>
        <w:tabs>
          <w:tab w:val="right" w:pos="7088"/>
        </w:tabs>
        <w:spacing w:before="100" w:beforeAutospacing="1" w:after="100" w:afterAutospacing="1"/>
        <w:ind w:left="426"/>
        <w:contextualSpacing/>
        <w:rPr>
          <w:rFonts w:asciiTheme="minorHAnsi" w:hAnsiTheme="minorHAnsi" w:cstheme="minorHAnsi"/>
          <w:i/>
          <w:sz w:val="22"/>
          <w:szCs w:val="22"/>
        </w:rPr>
      </w:pPr>
      <w:r>
        <w:rPr>
          <w:rFonts w:asciiTheme="minorHAnsi" w:hAnsiTheme="minorHAnsi" w:cstheme="minorHAnsi"/>
          <w:i/>
          <w:sz w:val="22"/>
          <w:szCs w:val="22"/>
        </w:rPr>
        <w:t>« </w:t>
      </w:r>
      <w:r w:rsidRPr="00F957BD">
        <w:rPr>
          <w:rFonts w:asciiTheme="minorHAnsi" w:hAnsiTheme="minorHAnsi" w:cstheme="minorHAnsi"/>
          <w:i/>
          <w:sz w:val="22"/>
          <w:szCs w:val="22"/>
        </w:rPr>
        <w:t xml:space="preserve">§1er. À la demande de la victime de la discrimination, du Centre, de l'Institut ou d'un des organes visés à l'article  31 du Ministère public ou, selon la nature de l'acte, de l'auditorat du travail, le président du tribunal de première instance ou, selon la nature de l'acte, </w:t>
      </w:r>
      <w:r w:rsidRPr="00F957BD">
        <w:rPr>
          <w:rFonts w:asciiTheme="minorHAnsi" w:hAnsiTheme="minorHAnsi" w:cstheme="minorHAnsi"/>
          <w:b/>
          <w:bCs/>
          <w:i/>
          <w:sz w:val="22"/>
          <w:szCs w:val="22"/>
        </w:rPr>
        <w:t>le président du tribunal du travail</w:t>
      </w:r>
      <w:r w:rsidRPr="00F957BD">
        <w:rPr>
          <w:rFonts w:asciiTheme="minorHAnsi" w:hAnsiTheme="minorHAnsi" w:cstheme="minorHAnsi"/>
          <w:i/>
          <w:sz w:val="22"/>
          <w:szCs w:val="22"/>
        </w:rPr>
        <w:t xml:space="preserve"> ou du tribunal de commerce, </w:t>
      </w:r>
      <w:r w:rsidRPr="00F957BD">
        <w:rPr>
          <w:rFonts w:asciiTheme="minorHAnsi" w:hAnsiTheme="minorHAnsi" w:cstheme="minorHAnsi"/>
          <w:b/>
          <w:bCs/>
          <w:i/>
          <w:sz w:val="22"/>
          <w:szCs w:val="22"/>
        </w:rPr>
        <w:t>constate l'existence et ordonne la cessation d'un acte</w:t>
      </w:r>
      <w:r w:rsidRPr="00F957BD">
        <w:rPr>
          <w:rFonts w:asciiTheme="minorHAnsi" w:hAnsiTheme="minorHAnsi" w:cstheme="minorHAnsi"/>
          <w:i/>
          <w:sz w:val="22"/>
          <w:szCs w:val="22"/>
        </w:rPr>
        <w:t xml:space="preserve">, même pénalement réprimé, </w:t>
      </w:r>
      <w:r w:rsidRPr="00F957BD">
        <w:rPr>
          <w:rFonts w:asciiTheme="minorHAnsi" w:hAnsiTheme="minorHAnsi" w:cstheme="minorHAnsi"/>
          <w:b/>
          <w:bCs/>
          <w:i/>
          <w:sz w:val="22"/>
          <w:szCs w:val="22"/>
        </w:rPr>
        <w:t>constituant un manquement aux dispositions du présent décret</w:t>
      </w:r>
      <w:r w:rsidRPr="00F957BD">
        <w:rPr>
          <w:rFonts w:asciiTheme="minorHAnsi" w:hAnsiTheme="minorHAnsi" w:cstheme="minorHAnsi"/>
          <w:i/>
          <w:sz w:val="22"/>
          <w:szCs w:val="22"/>
        </w:rPr>
        <w:t>. Le président du tribunal peut ordonner la levée de la cessation dès qu'il est prouvé qu'il a été mis fin aux infractions.</w:t>
      </w:r>
    </w:p>
    <w:p w14:paraId="1D7E22F0" w14:textId="77777777" w:rsidR="00F957BD" w:rsidRPr="00F957BD" w:rsidRDefault="00F957BD" w:rsidP="00F957BD">
      <w:pPr>
        <w:pStyle w:val="Corpsdetexte"/>
        <w:tabs>
          <w:tab w:val="right" w:pos="7088"/>
        </w:tabs>
        <w:spacing w:before="100" w:beforeAutospacing="1" w:after="100" w:afterAutospacing="1"/>
        <w:ind w:left="426"/>
        <w:contextualSpacing/>
        <w:rPr>
          <w:rFonts w:asciiTheme="minorHAnsi" w:hAnsiTheme="minorHAnsi" w:cstheme="minorHAnsi"/>
          <w:i/>
          <w:sz w:val="22"/>
          <w:szCs w:val="22"/>
        </w:rPr>
      </w:pPr>
    </w:p>
    <w:p w14:paraId="0B0F0664" w14:textId="77777777" w:rsidR="00F957BD" w:rsidRPr="00F957BD" w:rsidRDefault="00F957BD" w:rsidP="00F957BD">
      <w:pPr>
        <w:pStyle w:val="Corpsdetexte"/>
        <w:tabs>
          <w:tab w:val="right" w:pos="7088"/>
        </w:tabs>
        <w:spacing w:before="100" w:beforeAutospacing="1" w:after="100" w:afterAutospacing="1"/>
        <w:ind w:left="426"/>
        <w:contextualSpacing/>
        <w:rPr>
          <w:rFonts w:asciiTheme="minorHAnsi" w:hAnsiTheme="minorHAnsi" w:cstheme="minorHAnsi"/>
          <w:i/>
          <w:sz w:val="22"/>
          <w:szCs w:val="22"/>
        </w:rPr>
      </w:pPr>
      <w:r w:rsidRPr="00F957BD">
        <w:rPr>
          <w:rFonts w:asciiTheme="minorHAnsi" w:hAnsiTheme="minorHAnsi" w:cstheme="minorHAnsi"/>
          <w:i/>
          <w:sz w:val="22"/>
          <w:szCs w:val="22"/>
        </w:rPr>
        <w:t xml:space="preserve">§2. À la demande de la victime, le président du tribunal peut octroyer à celle-ci </w:t>
      </w:r>
      <w:r w:rsidRPr="00D94B85">
        <w:rPr>
          <w:rFonts w:asciiTheme="minorHAnsi" w:hAnsiTheme="minorHAnsi" w:cstheme="minorHAnsi"/>
          <w:b/>
          <w:bCs/>
          <w:i/>
          <w:sz w:val="22"/>
          <w:szCs w:val="22"/>
        </w:rPr>
        <w:t>l'indemnisation</w:t>
      </w:r>
      <w:r w:rsidRPr="00F957BD">
        <w:rPr>
          <w:rFonts w:asciiTheme="minorHAnsi" w:hAnsiTheme="minorHAnsi" w:cstheme="minorHAnsi"/>
          <w:i/>
          <w:sz w:val="22"/>
          <w:szCs w:val="22"/>
        </w:rPr>
        <w:t xml:space="preserve"> visée à l'article  19, §2 .</w:t>
      </w:r>
    </w:p>
    <w:p w14:paraId="65165795" w14:textId="77777777" w:rsidR="00F957BD" w:rsidRPr="00F957BD" w:rsidRDefault="00F957BD" w:rsidP="00D94B85">
      <w:pPr>
        <w:pStyle w:val="Corpsdetexte"/>
        <w:tabs>
          <w:tab w:val="right" w:pos="7088"/>
        </w:tabs>
        <w:spacing w:before="100" w:beforeAutospacing="1" w:after="100" w:afterAutospacing="1"/>
        <w:contextualSpacing/>
        <w:rPr>
          <w:rFonts w:asciiTheme="minorHAnsi" w:hAnsiTheme="minorHAnsi" w:cstheme="minorHAnsi"/>
          <w:i/>
          <w:sz w:val="22"/>
          <w:szCs w:val="22"/>
        </w:rPr>
      </w:pPr>
    </w:p>
    <w:p w14:paraId="252ADCFA" w14:textId="77777777" w:rsidR="00F957BD" w:rsidRPr="00F957BD" w:rsidRDefault="00F957BD" w:rsidP="00F957BD">
      <w:pPr>
        <w:pStyle w:val="Corpsdetexte"/>
        <w:tabs>
          <w:tab w:val="right" w:pos="7088"/>
        </w:tabs>
        <w:spacing w:before="100" w:beforeAutospacing="1" w:after="100" w:afterAutospacing="1"/>
        <w:ind w:left="426"/>
        <w:contextualSpacing/>
        <w:rPr>
          <w:rFonts w:asciiTheme="minorHAnsi" w:hAnsiTheme="minorHAnsi" w:cstheme="minorHAnsi"/>
          <w:i/>
          <w:sz w:val="22"/>
          <w:szCs w:val="22"/>
        </w:rPr>
      </w:pPr>
      <w:r w:rsidRPr="00F957BD">
        <w:rPr>
          <w:rFonts w:asciiTheme="minorHAnsi" w:hAnsiTheme="minorHAnsi" w:cstheme="minorHAnsi"/>
          <w:i/>
          <w:sz w:val="22"/>
          <w:szCs w:val="22"/>
        </w:rPr>
        <w:t xml:space="preserve">§3. Le président du tribunal </w:t>
      </w:r>
      <w:r w:rsidRPr="00D94B85">
        <w:rPr>
          <w:rFonts w:asciiTheme="minorHAnsi" w:hAnsiTheme="minorHAnsi" w:cstheme="minorHAnsi"/>
          <w:b/>
          <w:bCs/>
          <w:i/>
          <w:sz w:val="22"/>
          <w:szCs w:val="22"/>
        </w:rPr>
        <w:t>peut prescrire l'affichage de sa décision</w:t>
      </w:r>
      <w:r w:rsidRPr="00F957BD">
        <w:rPr>
          <w:rFonts w:asciiTheme="minorHAnsi" w:hAnsiTheme="minorHAnsi" w:cstheme="minorHAnsi"/>
          <w:i/>
          <w:sz w:val="22"/>
          <w:szCs w:val="22"/>
        </w:rPr>
        <w:t xml:space="preserve"> ou du résumé qu'il en rédige, tout en garantissant l'anonymat de la victime, pendant le délai qu'il détermine, aussi bien à l'extérieur qu'à l'intérieur des établissements du contrevenant ou des locaux lui appartenant, </w:t>
      </w:r>
      <w:r w:rsidRPr="00D94B85">
        <w:rPr>
          <w:rFonts w:asciiTheme="minorHAnsi" w:hAnsiTheme="minorHAnsi" w:cstheme="minorHAnsi"/>
          <w:b/>
          <w:bCs/>
          <w:i/>
          <w:sz w:val="22"/>
          <w:szCs w:val="22"/>
        </w:rPr>
        <w:t>et ordonner la publication ou la diffusion de son jugement</w:t>
      </w:r>
      <w:r w:rsidRPr="00F957BD">
        <w:rPr>
          <w:rFonts w:asciiTheme="minorHAnsi" w:hAnsiTheme="minorHAnsi" w:cstheme="minorHAnsi"/>
          <w:i/>
          <w:sz w:val="22"/>
          <w:szCs w:val="22"/>
        </w:rPr>
        <w:t xml:space="preserve"> ou du résumé de celui-ci par la voie de journaux ou de toute autre manière, le tout aux frais du contrevenant.</w:t>
      </w:r>
    </w:p>
    <w:p w14:paraId="37DD1669" w14:textId="77777777" w:rsidR="00F957BD" w:rsidRPr="00F957BD" w:rsidRDefault="00F957BD" w:rsidP="00F00482">
      <w:pPr>
        <w:pStyle w:val="Corpsdetexte"/>
        <w:tabs>
          <w:tab w:val="right" w:pos="7088"/>
        </w:tabs>
        <w:spacing w:before="100" w:beforeAutospacing="1" w:after="100" w:afterAutospacing="1"/>
        <w:contextualSpacing/>
        <w:rPr>
          <w:rFonts w:asciiTheme="minorHAnsi" w:hAnsiTheme="minorHAnsi" w:cstheme="minorHAnsi"/>
          <w:i/>
          <w:sz w:val="22"/>
          <w:szCs w:val="22"/>
        </w:rPr>
      </w:pPr>
    </w:p>
    <w:p w14:paraId="37B1987B" w14:textId="170C34BB" w:rsidR="00F957BD" w:rsidRPr="00F957BD" w:rsidRDefault="00F00482" w:rsidP="00F957BD">
      <w:pPr>
        <w:pStyle w:val="Corpsdetexte"/>
        <w:tabs>
          <w:tab w:val="right" w:pos="7088"/>
        </w:tabs>
        <w:spacing w:before="100" w:beforeAutospacing="1" w:after="100" w:afterAutospacing="1"/>
        <w:ind w:left="426"/>
        <w:contextualSpacing/>
        <w:rPr>
          <w:rFonts w:asciiTheme="minorHAnsi" w:hAnsiTheme="minorHAnsi" w:cstheme="minorHAnsi"/>
          <w:i/>
          <w:sz w:val="22"/>
          <w:szCs w:val="22"/>
        </w:rPr>
      </w:pPr>
      <w:r>
        <w:rPr>
          <w:rFonts w:asciiTheme="minorHAnsi" w:hAnsiTheme="minorHAnsi" w:cstheme="minorHAnsi"/>
          <w:i/>
          <w:sz w:val="22"/>
          <w:szCs w:val="22"/>
        </w:rPr>
        <w:t>(…)</w:t>
      </w:r>
    </w:p>
    <w:p w14:paraId="33337476" w14:textId="77777777" w:rsidR="00F957BD" w:rsidRPr="00F957BD" w:rsidRDefault="00F957BD" w:rsidP="00F957BD">
      <w:pPr>
        <w:pStyle w:val="Corpsdetexte"/>
        <w:tabs>
          <w:tab w:val="right" w:pos="7088"/>
        </w:tabs>
        <w:spacing w:before="100" w:beforeAutospacing="1" w:after="100" w:afterAutospacing="1"/>
        <w:ind w:left="426"/>
        <w:contextualSpacing/>
        <w:rPr>
          <w:rFonts w:asciiTheme="minorHAnsi" w:hAnsiTheme="minorHAnsi" w:cstheme="minorHAnsi"/>
          <w:i/>
          <w:sz w:val="22"/>
          <w:szCs w:val="22"/>
        </w:rPr>
      </w:pPr>
    </w:p>
    <w:p w14:paraId="7FA25284" w14:textId="58079B2C" w:rsidR="00A41FC4" w:rsidRPr="006E3CAB" w:rsidRDefault="00F957BD" w:rsidP="00F957BD">
      <w:pPr>
        <w:pStyle w:val="Corpsdetexte"/>
        <w:tabs>
          <w:tab w:val="right" w:pos="7088"/>
        </w:tabs>
        <w:spacing w:before="100" w:beforeAutospacing="1" w:after="100" w:afterAutospacing="1"/>
        <w:ind w:left="426"/>
        <w:contextualSpacing/>
        <w:rPr>
          <w:rFonts w:asciiTheme="minorHAnsi" w:hAnsiTheme="minorHAnsi" w:cstheme="minorHAnsi"/>
          <w:bCs/>
          <w:i/>
          <w:color w:val="000000"/>
          <w:sz w:val="22"/>
          <w:szCs w:val="22"/>
        </w:rPr>
      </w:pPr>
      <w:r w:rsidRPr="00F957BD">
        <w:rPr>
          <w:rFonts w:asciiTheme="minorHAnsi" w:hAnsiTheme="minorHAnsi" w:cstheme="minorHAnsi"/>
          <w:i/>
          <w:sz w:val="22"/>
          <w:szCs w:val="22"/>
        </w:rPr>
        <w:t xml:space="preserve">Le jugement est </w:t>
      </w:r>
      <w:r w:rsidRPr="00F00482">
        <w:rPr>
          <w:rFonts w:asciiTheme="minorHAnsi" w:hAnsiTheme="minorHAnsi" w:cstheme="minorHAnsi"/>
          <w:b/>
          <w:bCs/>
          <w:i/>
          <w:sz w:val="22"/>
          <w:szCs w:val="22"/>
        </w:rPr>
        <w:t>exécutoire par provision</w:t>
      </w:r>
      <w:r w:rsidRPr="00F957BD">
        <w:rPr>
          <w:rFonts w:asciiTheme="minorHAnsi" w:hAnsiTheme="minorHAnsi" w:cstheme="minorHAnsi"/>
          <w:i/>
          <w:sz w:val="22"/>
          <w:szCs w:val="22"/>
        </w:rPr>
        <w:t>, malgré tout recours et sans caution. Le greffe de la juridiction communique le jugement, sans délai, à toutes les parties et au procureur du Roi.</w:t>
      </w:r>
      <w:r w:rsidR="00A41FC4" w:rsidRPr="006E3CAB">
        <w:rPr>
          <w:rFonts w:asciiTheme="minorHAnsi" w:hAnsiTheme="minorHAnsi" w:cstheme="minorHAnsi"/>
          <w:bCs/>
          <w:i/>
          <w:color w:val="000000"/>
          <w:sz w:val="22"/>
          <w:szCs w:val="22"/>
        </w:rPr>
        <w:t>».</w:t>
      </w:r>
    </w:p>
    <w:p w14:paraId="1144881E" w14:textId="77777777" w:rsidR="00A41FC4" w:rsidRDefault="00A41FC4" w:rsidP="00D368C9">
      <w:pPr>
        <w:pStyle w:val="Corpsdetexte"/>
        <w:tabs>
          <w:tab w:val="right" w:pos="7088"/>
        </w:tabs>
        <w:spacing w:before="100" w:beforeAutospacing="1" w:after="100" w:afterAutospacing="1"/>
        <w:contextualSpacing/>
        <w:rPr>
          <w:rFonts w:asciiTheme="minorHAnsi" w:hAnsiTheme="minorHAnsi" w:cstheme="minorHAnsi"/>
          <w:bCs/>
          <w:i/>
          <w:color w:val="000000"/>
          <w:sz w:val="22"/>
          <w:szCs w:val="22"/>
        </w:rPr>
      </w:pPr>
    </w:p>
    <w:p w14:paraId="6745551F" w14:textId="77777777" w:rsidR="00044C74" w:rsidRDefault="00044C74" w:rsidP="00D368C9">
      <w:pPr>
        <w:pStyle w:val="Corpsdetexte"/>
        <w:tabs>
          <w:tab w:val="right" w:pos="7088"/>
        </w:tabs>
        <w:spacing w:before="100" w:beforeAutospacing="1" w:after="100" w:afterAutospacing="1"/>
        <w:contextualSpacing/>
        <w:rPr>
          <w:rFonts w:asciiTheme="minorHAnsi" w:hAnsiTheme="minorHAnsi" w:cstheme="minorHAnsi"/>
          <w:bCs/>
          <w:i/>
          <w:color w:val="000000"/>
          <w:sz w:val="22"/>
          <w:szCs w:val="22"/>
        </w:rPr>
      </w:pPr>
    </w:p>
    <w:p w14:paraId="6B8D345B" w14:textId="026BFF64" w:rsidR="00F00482" w:rsidRDefault="00F00482" w:rsidP="00D368C9">
      <w:pPr>
        <w:pStyle w:val="Corpsdetexte"/>
        <w:tabs>
          <w:tab w:val="right" w:pos="7088"/>
        </w:tabs>
        <w:spacing w:before="100" w:beforeAutospacing="1" w:after="100" w:afterAutospacing="1"/>
        <w:contextualSpacing/>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L’article </w:t>
      </w:r>
      <w:r w:rsidR="00BC0D79">
        <w:rPr>
          <w:rFonts w:asciiTheme="minorHAnsi" w:hAnsiTheme="minorHAnsi" w:cstheme="minorHAnsi"/>
          <w:bCs/>
          <w:iCs/>
          <w:color w:val="000000"/>
          <w:sz w:val="22"/>
          <w:szCs w:val="22"/>
        </w:rPr>
        <w:t>19 §2 du décret fixe le</w:t>
      </w:r>
      <w:r w:rsidR="00044C74">
        <w:rPr>
          <w:rFonts w:asciiTheme="minorHAnsi" w:hAnsiTheme="minorHAnsi" w:cstheme="minorHAnsi"/>
          <w:bCs/>
          <w:iCs/>
          <w:color w:val="000000"/>
          <w:sz w:val="22"/>
          <w:szCs w:val="22"/>
        </w:rPr>
        <w:t xml:space="preserve"> quantum de l’indemnisation comme suit :</w:t>
      </w:r>
    </w:p>
    <w:p w14:paraId="084441B4" w14:textId="77777777" w:rsidR="00044C74" w:rsidRDefault="00044C74" w:rsidP="00044C74">
      <w:pPr>
        <w:pStyle w:val="Corpsdetexte"/>
        <w:tabs>
          <w:tab w:val="right" w:pos="7088"/>
        </w:tabs>
        <w:spacing w:before="100" w:beforeAutospacing="1" w:after="100" w:afterAutospacing="1"/>
        <w:ind w:left="426"/>
        <w:contextualSpacing/>
        <w:rPr>
          <w:rFonts w:asciiTheme="minorHAnsi" w:hAnsiTheme="minorHAnsi" w:cstheme="minorHAnsi"/>
          <w:bCs/>
          <w:iCs/>
          <w:color w:val="000000"/>
          <w:sz w:val="22"/>
          <w:szCs w:val="22"/>
        </w:rPr>
      </w:pPr>
    </w:p>
    <w:p w14:paraId="0252F61E" w14:textId="77777777" w:rsidR="00044C74" w:rsidRPr="00044C74" w:rsidRDefault="00044C74" w:rsidP="00044C74">
      <w:pPr>
        <w:pStyle w:val="Corpsdetexte"/>
        <w:tabs>
          <w:tab w:val="right" w:pos="7088"/>
        </w:tabs>
        <w:spacing w:before="100" w:beforeAutospacing="1" w:after="100" w:afterAutospacing="1"/>
        <w:ind w:left="426"/>
        <w:contextualSpacing/>
        <w:rPr>
          <w:rFonts w:asciiTheme="minorHAnsi" w:hAnsiTheme="minorHAnsi" w:cstheme="minorHAnsi"/>
          <w:bCs/>
          <w:i/>
          <w:color w:val="000000"/>
          <w:sz w:val="22"/>
          <w:szCs w:val="22"/>
        </w:rPr>
      </w:pPr>
      <w:r>
        <w:rPr>
          <w:rFonts w:asciiTheme="minorHAnsi" w:hAnsiTheme="minorHAnsi" w:cstheme="minorHAnsi"/>
          <w:bCs/>
          <w:iCs/>
          <w:color w:val="000000"/>
          <w:sz w:val="22"/>
          <w:szCs w:val="22"/>
        </w:rPr>
        <w:t>« </w:t>
      </w:r>
      <w:r w:rsidRPr="00044C74">
        <w:rPr>
          <w:rFonts w:asciiTheme="minorHAnsi" w:hAnsiTheme="minorHAnsi" w:cstheme="minorHAnsi"/>
          <w:bCs/>
          <w:i/>
          <w:color w:val="000000"/>
          <w:sz w:val="22"/>
          <w:szCs w:val="22"/>
        </w:rPr>
        <w:t>1° hors l'hypothèse visée ci-après, l'indemnisation du préjudice moral subi du fait d'une discrimination est fixé à un montant minimum de 650 euros; ce montant est porté à 1.300 euros dans le cas où le contrevenant ne peut démontrer que le traitement litigieux défavorable ou désavantageux aurait également été adopté en l'absence de discrimination ou en raison d'autres circonstances;</w:t>
      </w:r>
    </w:p>
    <w:p w14:paraId="43B89A44" w14:textId="77777777" w:rsidR="00044C74" w:rsidRPr="00044C74" w:rsidRDefault="00044C74" w:rsidP="00044C74">
      <w:pPr>
        <w:pStyle w:val="Corpsdetexte"/>
        <w:tabs>
          <w:tab w:val="right" w:pos="7088"/>
        </w:tabs>
        <w:spacing w:before="100" w:beforeAutospacing="1" w:after="100" w:afterAutospacing="1"/>
        <w:ind w:left="426"/>
        <w:contextualSpacing/>
        <w:rPr>
          <w:rFonts w:asciiTheme="minorHAnsi" w:hAnsiTheme="minorHAnsi" w:cstheme="minorHAnsi"/>
          <w:bCs/>
          <w:i/>
          <w:color w:val="000000"/>
          <w:sz w:val="22"/>
          <w:szCs w:val="22"/>
        </w:rPr>
      </w:pPr>
    </w:p>
    <w:p w14:paraId="3F76BB82" w14:textId="3AC6EB3C" w:rsidR="00044C74" w:rsidRDefault="00044C74" w:rsidP="00044C74">
      <w:pPr>
        <w:pStyle w:val="Corpsdetexte"/>
        <w:tabs>
          <w:tab w:val="right" w:pos="7088"/>
        </w:tabs>
        <w:spacing w:before="100" w:beforeAutospacing="1" w:after="100" w:afterAutospacing="1"/>
        <w:ind w:left="426"/>
        <w:contextualSpacing/>
        <w:rPr>
          <w:rFonts w:asciiTheme="minorHAnsi" w:hAnsiTheme="minorHAnsi" w:cstheme="minorHAnsi"/>
          <w:bCs/>
          <w:iCs/>
          <w:color w:val="000000"/>
          <w:sz w:val="22"/>
          <w:szCs w:val="22"/>
        </w:rPr>
      </w:pPr>
      <w:r w:rsidRPr="00044C74">
        <w:rPr>
          <w:rFonts w:asciiTheme="minorHAnsi" w:hAnsiTheme="minorHAnsi" w:cstheme="minorHAnsi"/>
          <w:bCs/>
          <w:i/>
          <w:color w:val="000000"/>
          <w:sz w:val="22"/>
          <w:szCs w:val="22"/>
        </w:rPr>
        <w:t xml:space="preserve">2° si la victime réclame l'indemnisation du préjudice moral et matériel qu'elle a subi du fait d'une discrimination dans le cadre des relations de travail, </w:t>
      </w:r>
      <w:r w:rsidRPr="00044C74">
        <w:rPr>
          <w:rFonts w:asciiTheme="minorHAnsi" w:hAnsiTheme="minorHAnsi" w:cstheme="minorHAnsi"/>
          <w:b/>
          <w:i/>
          <w:color w:val="000000"/>
          <w:sz w:val="22"/>
          <w:szCs w:val="22"/>
        </w:rPr>
        <w:t>l'indemnisation forfaitaire</w:t>
      </w:r>
      <w:r w:rsidRPr="00044C74">
        <w:rPr>
          <w:rFonts w:asciiTheme="minorHAnsi" w:hAnsiTheme="minorHAnsi" w:cstheme="minorHAnsi"/>
          <w:bCs/>
          <w:i/>
          <w:color w:val="000000"/>
          <w:sz w:val="22"/>
          <w:szCs w:val="22"/>
        </w:rPr>
        <w:t xml:space="preserve"> pour le dommage matériel et moral </w:t>
      </w:r>
      <w:r w:rsidRPr="00044C74">
        <w:rPr>
          <w:rFonts w:asciiTheme="minorHAnsi" w:hAnsiTheme="minorHAnsi" w:cstheme="minorHAnsi"/>
          <w:b/>
          <w:i/>
          <w:color w:val="000000"/>
          <w:sz w:val="22"/>
          <w:szCs w:val="22"/>
        </w:rPr>
        <w:t>équivaut à six mois de rémunération brute</w:t>
      </w:r>
      <w:r w:rsidRPr="00044C74">
        <w:rPr>
          <w:rFonts w:asciiTheme="minorHAnsi" w:hAnsiTheme="minorHAnsi" w:cstheme="minorHAnsi"/>
          <w:bCs/>
          <w:i/>
          <w:color w:val="000000"/>
          <w:sz w:val="22"/>
          <w:szCs w:val="22"/>
        </w:rPr>
        <w:t>, à moins que l'employeur ne démontre que le traitement litigieux défavorable ou désavantageux aurait également été adopté en l'absence de discrimination;</w:t>
      </w:r>
      <w:r>
        <w:rPr>
          <w:rFonts w:asciiTheme="minorHAnsi" w:hAnsiTheme="minorHAnsi" w:cstheme="minorHAnsi"/>
          <w:bCs/>
          <w:iCs/>
          <w:color w:val="000000"/>
          <w:sz w:val="22"/>
          <w:szCs w:val="22"/>
        </w:rPr>
        <w:t> »</w:t>
      </w:r>
    </w:p>
    <w:p w14:paraId="3F58D35A" w14:textId="77777777" w:rsidR="00044C74" w:rsidRPr="00F00482" w:rsidRDefault="00044C74" w:rsidP="00044C74">
      <w:pPr>
        <w:pStyle w:val="Corpsdetexte"/>
        <w:tabs>
          <w:tab w:val="right" w:pos="7088"/>
        </w:tabs>
        <w:spacing w:before="100" w:beforeAutospacing="1" w:after="100" w:afterAutospacing="1"/>
        <w:ind w:left="426"/>
        <w:contextualSpacing/>
        <w:rPr>
          <w:rFonts w:asciiTheme="minorHAnsi" w:hAnsiTheme="minorHAnsi" w:cstheme="minorHAnsi"/>
          <w:bCs/>
          <w:iCs/>
          <w:color w:val="000000"/>
          <w:sz w:val="22"/>
          <w:szCs w:val="22"/>
        </w:rPr>
      </w:pPr>
    </w:p>
    <w:p w14:paraId="0CFF6E23" w14:textId="1C12A046" w:rsidR="00E15FD3" w:rsidRPr="00820B29" w:rsidRDefault="00E15FD3" w:rsidP="00E15FD3">
      <w:pPr>
        <w:pStyle w:val="Corpsdetexte"/>
        <w:tabs>
          <w:tab w:val="right" w:pos="7088"/>
        </w:tabs>
        <w:spacing w:before="100" w:beforeAutospacing="1" w:after="100" w:afterAutospacing="1"/>
        <w:contextualSpacing/>
        <w:rPr>
          <w:rFonts w:asciiTheme="minorHAnsi" w:hAnsiTheme="minorHAnsi" w:cstheme="minorHAnsi"/>
          <w:bCs/>
          <w:iCs/>
          <w:color w:val="000000"/>
          <w:sz w:val="22"/>
          <w:szCs w:val="22"/>
        </w:rPr>
      </w:pPr>
      <w:r w:rsidRPr="00820B29">
        <w:rPr>
          <w:rFonts w:asciiTheme="minorHAnsi" w:hAnsiTheme="minorHAnsi" w:cstheme="minorHAnsi"/>
          <w:bCs/>
          <w:iCs/>
          <w:color w:val="000000"/>
          <w:sz w:val="22"/>
          <w:szCs w:val="22"/>
        </w:rPr>
        <w:t>L’article 2</w:t>
      </w:r>
      <w:r w:rsidR="00C03E43">
        <w:rPr>
          <w:rFonts w:asciiTheme="minorHAnsi" w:hAnsiTheme="minorHAnsi" w:cstheme="minorHAnsi"/>
          <w:bCs/>
          <w:iCs/>
          <w:color w:val="000000"/>
          <w:sz w:val="22"/>
          <w:szCs w:val="22"/>
        </w:rPr>
        <w:t xml:space="preserve">9 </w:t>
      </w:r>
      <w:r w:rsidRPr="00820B29">
        <w:rPr>
          <w:rFonts w:asciiTheme="minorHAnsi" w:hAnsiTheme="minorHAnsi" w:cstheme="minorHAnsi"/>
          <w:bCs/>
          <w:iCs/>
          <w:color w:val="000000"/>
          <w:sz w:val="22"/>
          <w:szCs w:val="22"/>
        </w:rPr>
        <w:t xml:space="preserve">§ 1er </w:t>
      </w:r>
      <w:r w:rsidR="00044C74">
        <w:rPr>
          <w:rFonts w:asciiTheme="minorHAnsi" w:hAnsiTheme="minorHAnsi" w:cstheme="minorHAnsi"/>
          <w:bCs/>
          <w:iCs/>
          <w:color w:val="000000"/>
          <w:sz w:val="22"/>
          <w:szCs w:val="22"/>
        </w:rPr>
        <w:t>du décret</w:t>
      </w:r>
      <w:r w:rsidRPr="00820B29">
        <w:rPr>
          <w:rFonts w:asciiTheme="minorHAnsi" w:hAnsiTheme="minorHAnsi" w:cstheme="minorHAnsi"/>
          <w:bCs/>
          <w:iCs/>
          <w:color w:val="000000"/>
          <w:sz w:val="22"/>
          <w:szCs w:val="22"/>
        </w:rPr>
        <w:t xml:space="preserve"> aménage la charge de la preuve en ces termes : </w:t>
      </w:r>
    </w:p>
    <w:p w14:paraId="3E30EBB6" w14:textId="77777777" w:rsidR="00E15FD3" w:rsidRPr="00E15FD3" w:rsidRDefault="00E15FD3" w:rsidP="00E15FD3">
      <w:pPr>
        <w:pStyle w:val="Corpsdetexte"/>
        <w:tabs>
          <w:tab w:val="right" w:pos="7088"/>
        </w:tabs>
        <w:spacing w:before="100" w:beforeAutospacing="1" w:after="100" w:afterAutospacing="1"/>
        <w:contextualSpacing/>
        <w:rPr>
          <w:rFonts w:asciiTheme="minorHAnsi" w:hAnsiTheme="minorHAnsi" w:cstheme="minorHAnsi"/>
          <w:bCs/>
          <w:i/>
          <w:color w:val="000000"/>
          <w:sz w:val="22"/>
          <w:szCs w:val="22"/>
        </w:rPr>
      </w:pPr>
    </w:p>
    <w:p w14:paraId="75CF8B64" w14:textId="62D05AF2" w:rsidR="00E15FD3" w:rsidRPr="00E15FD3" w:rsidRDefault="00E15FD3" w:rsidP="00820B29">
      <w:pPr>
        <w:pStyle w:val="Corpsdetexte"/>
        <w:tabs>
          <w:tab w:val="right" w:pos="7088"/>
        </w:tabs>
        <w:spacing w:before="100" w:beforeAutospacing="1" w:after="100" w:afterAutospacing="1"/>
        <w:ind w:left="426"/>
        <w:contextualSpacing/>
        <w:rPr>
          <w:rFonts w:asciiTheme="minorHAnsi" w:hAnsiTheme="minorHAnsi" w:cstheme="minorHAnsi"/>
          <w:bCs/>
          <w:i/>
          <w:color w:val="000000"/>
          <w:sz w:val="22"/>
          <w:szCs w:val="22"/>
        </w:rPr>
      </w:pPr>
      <w:r w:rsidRPr="00E15FD3">
        <w:rPr>
          <w:rFonts w:asciiTheme="minorHAnsi" w:hAnsiTheme="minorHAnsi" w:cstheme="minorHAnsi"/>
          <w:bCs/>
          <w:i/>
          <w:color w:val="000000"/>
          <w:sz w:val="22"/>
          <w:szCs w:val="22"/>
        </w:rPr>
        <w:t>«</w:t>
      </w:r>
      <w:r w:rsidR="00C03E43">
        <w:rPr>
          <w:rFonts w:asciiTheme="minorHAnsi" w:hAnsiTheme="minorHAnsi" w:cstheme="minorHAnsi"/>
          <w:bCs/>
          <w:i/>
          <w:color w:val="000000"/>
          <w:sz w:val="22"/>
          <w:szCs w:val="22"/>
        </w:rPr>
        <w:t xml:space="preserve"> </w:t>
      </w:r>
      <w:r w:rsidR="00C03E43" w:rsidRPr="00C03E43">
        <w:rPr>
          <w:rFonts w:asciiTheme="minorHAnsi" w:hAnsiTheme="minorHAnsi" w:cstheme="minorHAnsi"/>
          <w:bCs/>
          <w:i/>
          <w:color w:val="000000"/>
          <w:sz w:val="22"/>
          <w:szCs w:val="22"/>
          <w:lang w:val="fr-BE"/>
        </w:rPr>
        <w:t>§1</w:t>
      </w:r>
      <w:r w:rsidR="00C03E43" w:rsidRPr="00C03E43">
        <w:rPr>
          <w:rFonts w:asciiTheme="minorHAnsi" w:hAnsiTheme="minorHAnsi" w:cstheme="minorHAnsi"/>
          <w:bCs/>
          <w:i/>
          <w:color w:val="000000"/>
          <w:sz w:val="22"/>
          <w:szCs w:val="22"/>
          <w:vertAlign w:val="superscript"/>
          <w:lang w:val="fr-BE"/>
        </w:rPr>
        <w:t>er</w:t>
      </w:r>
      <w:r w:rsidR="00C03E43" w:rsidRPr="00C03E43">
        <w:rPr>
          <w:rFonts w:asciiTheme="minorHAnsi" w:hAnsiTheme="minorHAnsi" w:cstheme="minorHAnsi"/>
          <w:bCs/>
          <w:i/>
          <w:color w:val="000000"/>
          <w:sz w:val="22"/>
          <w:szCs w:val="22"/>
          <w:lang w:val="fr-BE"/>
        </w:rPr>
        <w:t xml:space="preserve">. Lorsqu'une personne qui s'estime victime d'une discrimination </w:t>
      </w:r>
      <w:r w:rsidR="00C03E43">
        <w:rPr>
          <w:rFonts w:asciiTheme="minorHAnsi" w:hAnsiTheme="minorHAnsi" w:cstheme="minorHAnsi"/>
          <w:bCs/>
          <w:i/>
          <w:color w:val="000000"/>
          <w:sz w:val="22"/>
          <w:szCs w:val="22"/>
          <w:lang w:val="fr-BE"/>
        </w:rPr>
        <w:t xml:space="preserve">(…) </w:t>
      </w:r>
      <w:r w:rsidR="00C03E43" w:rsidRPr="00C03E43">
        <w:rPr>
          <w:rFonts w:asciiTheme="minorHAnsi" w:hAnsiTheme="minorHAnsi" w:cstheme="minorHAnsi"/>
          <w:bCs/>
          <w:i/>
          <w:color w:val="000000"/>
          <w:sz w:val="22"/>
          <w:szCs w:val="22"/>
          <w:lang w:val="fr-BE"/>
        </w:rPr>
        <w:t xml:space="preserve">invoquent devant la juridiction compétente des faits qui permettent de </w:t>
      </w:r>
      <w:r w:rsidR="00C03E43" w:rsidRPr="00C03E43">
        <w:rPr>
          <w:rFonts w:asciiTheme="minorHAnsi" w:hAnsiTheme="minorHAnsi" w:cstheme="minorHAnsi"/>
          <w:b/>
          <w:i/>
          <w:color w:val="000000"/>
          <w:sz w:val="22"/>
          <w:szCs w:val="22"/>
          <w:lang w:val="fr-BE"/>
        </w:rPr>
        <w:t>présumer l'existence d'une discrimination</w:t>
      </w:r>
      <w:r w:rsidR="00C03E43" w:rsidRPr="00C03E43">
        <w:rPr>
          <w:rFonts w:asciiTheme="minorHAnsi" w:hAnsiTheme="minorHAnsi" w:cstheme="minorHAnsi"/>
          <w:bCs/>
          <w:i/>
          <w:color w:val="000000"/>
          <w:sz w:val="22"/>
          <w:szCs w:val="22"/>
          <w:lang w:val="fr-BE"/>
        </w:rPr>
        <w:t xml:space="preserve"> fondée sur l'un ou plusieurs des critères protégés </w:t>
      </w:r>
      <w:r w:rsidR="00C03E43" w:rsidRPr="00C03E43">
        <w:rPr>
          <w:rFonts w:asciiTheme="minorHAnsi" w:hAnsiTheme="minorHAnsi" w:cstheme="minorHAnsi"/>
          <w:bCs/>
          <w:i/>
          <w:iCs/>
          <w:color w:val="000000"/>
          <w:sz w:val="22"/>
          <w:szCs w:val="22"/>
          <w:lang w:val="fr-BE"/>
        </w:rPr>
        <w:t>(...)</w:t>
      </w:r>
      <w:r w:rsidR="00C03E43" w:rsidRPr="00C03E43">
        <w:rPr>
          <w:rFonts w:asciiTheme="minorHAnsi" w:hAnsiTheme="minorHAnsi" w:cstheme="minorHAnsi"/>
          <w:bCs/>
          <w:i/>
          <w:color w:val="000000"/>
          <w:sz w:val="22"/>
          <w:szCs w:val="22"/>
          <w:lang w:val="fr-BE"/>
        </w:rPr>
        <w:t xml:space="preserve"> , il incombe </w:t>
      </w:r>
      <w:r w:rsidR="00C03E43" w:rsidRPr="00C03E43">
        <w:rPr>
          <w:rFonts w:asciiTheme="minorHAnsi" w:hAnsiTheme="minorHAnsi" w:cstheme="minorHAnsi"/>
          <w:b/>
          <w:i/>
          <w:color w:val="000000"/>
          <w:sz w:val="22"/>
          <w:szCs w:val="22"/>
          <w:lang w:val="fr-BE"/>
        </w:rPr>
        <w:t>au défendeur de prouver qu'il n'y a pas eu de discrimination</w:t>
      </w:r>
      <w:r w:rsidR="00C03E43" w:rsidRPr="00C03E43">
        <w:rPr>
          <w:rFonts w:asciiTheme="minorHAnsi" w:hAnsiTheme="minorHAnsi" w:cstheme="minorHAnsi"/>
          <w:bCs/>
          <w:i/>
          <w:color w:val="000000"/>
          <w:sz w:val="22"/>
          <w:szCs w:val="22"/>
          <w:lang w:val="fr-BE"/>
        </w:rPr>
        <w:t>.</w:t>
      </w:r>
      <w:r w:rsidR="00C03E43">
        <w:rPr>
          <w:rFonts w:asciiTheme="minorHAnsi" w:hAnsiTheme="minorHAnsi" w:cstheme="minorHAnsi"/>
          <w:bCs/>
          <w:i/>
          <w:color w:val="000000"/>
          <w:sz w:val="22"/>
          <w:szCs w:val="22"/>
          <w:lang w:val="fr-BE"/>
        </w:rPr>
        <w:t> »</w:t>
      </w:r>
    </w:p>
    <w:p w14:paraId="49FFC51A" w14:textId="75B70461" w:rsidR="00630055" w:rsidRPr="00C020CE" w:rsidRDefault="00A41FC4" w:rsidP="00630055">
      <w:pPr>
        <w:pStyle w:val="Corpsdetexte"/>
        <w:tabs>
          <w:tab w:val="right" w:pos="7088"/>
        </w:tabs>
        <w:spacing w:before="100" w:beforeAutospacing="1" w:after="100" w:afterAutospacing="1"/>
        <w:contextualSpacing/>
        <w:rPr>
          <w:rFonts w:asciiTheme="minorHAnsi" w:hAnsiTheme="minorHAnsi" w:cstheme="minorHAnsi"/>
          <w:bCs/>
          <w:iCs/>
          <w:color w:val="000000"/>
          <w:sz w:val="22"/>
          <w:szCs w:val="22"/>
          <w:lang w:val="fr-BE"/>
        </w:rPr>
      </w:pPr>
      <w:r w:rsidRPr="006E3CAB">
        <w:rPr>
          <w:rFonts w:asciiTheme="minorHAnsi" w:hAnsiTheme="minorHAnsi" w:cstheme="minorHAnsi"/>
          <w:bCs/>
          <w:i/>
          <w:color w:val="000000"/>
          <w:sz w:val="22"/>
          <w:szCs w:val="22"/>
        </w:rPr>
        <w:br/>
      </w:r>
      <w:r w:rsidR="00C020CE" w:rsidRPr="00C020CE">
        <w:rPr>
          <w:rFonts w:asciiTheme="minorHAnsi" w:hAnsiTheme="minorHAnsi" w:cstheme="minorHAnsi"/>
          <w:bCs/>
          <w:iCs/>
          <w:color w:val="000000"/>
          <w:sz w:val="22"/>
          <w:szCs w:val="22"/>
          <w:lang w:val="fr-BE"/>
        </w:rPr>
        <w:t xml:space="preserve">La victime qui se prétend victime d’une discrimination conserve un rôle indispensable dans l’administration de la preuve puisqu’elle doit préalablement établir une apparence de discrimination, c’est-à-dire les faits qui permettraient de présumer </w:t>
      </w:r>
      <w:r w:rsidR="00C020CE" w:rsidRPr="00684D75">
        <w:rPr>
          <w:rFonts w:asciiTheme="minorHAnsi" w:hAnsiTheme="minorHAnsi" w:cstheme="minorHAnsi"/>
          <w:bCs/>
          <w:i/>
          <w:color w:val="000000"/>
          <w:sz w:val="22"/>
          <w:szCs w:val="22"/>
          <w:lang w:val="fr-BE"/>
        </w:rPr>
        <w:t>prima facie</w:t>
      </w:r>
      <w:r w:rsidR="00C020CE" w:rsidRPr="00C020CE">
        <w:rPr>
          <w:rFonts w:asciiTheme="minorHAnsi" w:hAnsiTheme="minorHAnsi" w:cstheme="minorHAnsi"/>
          <w:bCs/>
          <w:iCs/>
          <w:color w:val="000000"/>
          <w:sz w:val="22"/>
          <w:szCs w:val="22"/>
          <w:lang w:val="fr-BE"/>
        </w:rPr>
        <w:t xml:space="preserve"> l’existence d’une telle discrimination.</w:t>
      </w:r>
    </w:p>
    <w:p w14:paraId="450C3801" w14:textId="77777777" w:rsidR="00A41FC4" w:rsidRDefault="00A41FC4" w:rsidP="00D368C9">
      <w:pPr>
        <w:pStyle w:val="Corpsdetexte"/>
        <w:tabs>
          <w:tab w:val="right" w:pos="7088"/>
        </w:tabs>
        <w:spacing w:before="100" w:beforeAutospacing="1" w:after="100" w:afterAutospacing="1"/>
        <w:contextualSpacing/>
        <w:rPr>
          <w:rFonts w:asciiTheme="minorHAnsi" w:hAnsiTheme="minorHAnsi" w:cstheme="minorHAnsi"/>
          <w:b/>
          <w:iCs/>
          <w:sz w:val="22"/>
          <w:szCs w:val="22"/>
          <w:u w:val="single"/>
        </w:rPr>
      </w:pPr>
    </w:p>
    <w:p w14:paraId="1990396D" w14:textId="77777777" w:rsidR="00C020CE" w:rsidRPr="006E3CAB" w:rsidRDefault="00C020CE" w:rsidP="00D368C9">
      <w:pPr>
        <w:pStyle w:val="Corpsdetexte"/>
        <w:tabs>
          <w:tab w:val="right" w:pos="7088"/>
        </w:tabs>
        <w:spacing w:before="100" w:beforeAutospacing="1" w:after="100" w:afterAutospacing="1"/>
        <w:contextualSpacing/>
        <w:rPr>
          <w:rFonts w:asciiTheme="minorHAnsi" w:hAnsiTheme="minorHAnsi" w:cstheme="minorHAnsi"/>
          <w:b/>
          <w:iCs/>
          <w:sz w:val="22"/>
          <w:szCs w:val="22"/>
          <w:u w:val="single"/>
        </w:rPr>
      </w:pPr>
    </w:p>
    <w:p w14:paraId="00CD58A8" w14:textId="1BA6DBDE" w:rsidR="00A41FC4" w:rsidRPr="00C020CE" w:rsidRDefault="00A41FC4" w:rsidP="00CD2835">
      <w:pPr>
        <w:pStyle w:val="Corpsdetexte"/>
        <w:numPr>
          <w:ilvl w:val="0"/>
          <w:numId w:val="29"/>
        </w:numPr>
        <w:tabs>
          <w:tab w:val="right" w:pos="7088"/>
        </w:tabs>
        <w:spacing w:before="100" w:beforeAutospacing="1" w:after="100" w:afterAutospacing="1"/>
        <w:contextualSpacing/>
        <w:rPr>
          <w:rFonts w:asciiTheme="minorHAnsi" w:hAnsiTheme="minorHAnsi" w:cstheme="minorHAnsi"/>
          <w:bCs/>
          <w:iCs/>
          <w:sz w:val="22"/>
          <w:szCs w:val="22"/>
          <w:u w:val="single"/>
        </w:rPr>
      </w:pPr>
      <w:r w:rsidRPr="00C020CE">
        <w:rPr>
          <w:rFonts w:asciiTheme="minorHAnsi" w:hAnsiTheme="minorHAnsi" w:cstheme="minorHAnsi"/>
          <w:bCs/>
          <w:iCs/>
          <w:sz w:val="22"/>
          <w:szCs w:val="22"/>
          <w:u w:val="single"/>
        </w:rPr>
        <w:t>Jurisprudence et doctrine</w:t>
      </w:r>
    </w:p>
    <w:p w14:paraId="60CED3C9" w14:textId="77777777" w:rsidR="00A41FC4" w:rsidRPr="006E3CAB" w:rsidRDefault="00A41FC4" w:rsidP="00D368C9">
      <w:pPr>
        <w:pStyle w:val="Corpsdetexte"/>
        <w:tabs>
          <w:tab w:val="right" w:pos="7088"/>
        </w:tabs>
        <w:spacing w:before="100" w:beforeAutospacing="1" w:after="100" w:afterAutospacing="1"/>
        <w:contextualSpacing/>
        <w:rPr>
          <w:rFonts w:asciiTheme="minorHAnsi" w:hAnsiTheme="minorHAnsi" w:cstheme="minorHAnsi"/>
          <w:b/>
          <w:iCs/>
          <w:sz w:val="22"/>
          <w:szCs w:val="22"/>
          <w:highlight w:val="yellow"/>
          <w:u w:val="single"/>
        </w:rPr>
      </w:pPr>
    </w:p>
    <w:p w14:paraId="799FAD0B" w14:textId="3B71DFD4" w:rsidR="00A41FC4" w:rsidRPr="006E3CAB" w:rsidRDefault="00A41FC4" w:rsidP="00D368C9">
      <w:pPr>
        <w:pStyle w:val="Corpsdetexte"/>
        <w:tabs>
          <w:tab w:val="right" w:pos="7088"/>
        </w:tabs>
        <w:spacing w:before="100" w:beforeAutospacing="1" w:after="100" w:afterAutospacing="1"/>
        <w:contextualSpacing/>
        <w:rPr>
          <w:rFonts w:asciiTheme="minorHAnsi" w:hAnsiTheme="minorHAnsi" w:cstheme="minorHAnsi"/>
          <w:iCs/>
          <w:sz w:val="22"/>
          <w:szCs w:val="22"/>
        </w:rPr>
      </w:pPr>
      <w:r w:rsidRPr="006E3CAB">
        <w:rPr>
          <w:rFonts w:asciiTheme="minorHAnsi" w:hAnsiTheme="minorHAnsi" w:cstheme="minorHAnsi"/>
          <w:sz w:val="22"/>
          <w:szCs w:val="22"/>
        </w:rPr>
        <w:t xml:space="preserve">V. GHESQUIERE, I. HACHEZ et C. VAN BASSELAERE </w:t>
      </w:r>
      <w:r w:rsidRPr="006E3CAB">
        <w:rPr>
          <w:rFonts w:asciiTheme="minorHAnsi" w:hAnsiTheme="minorHAnsi" w:cstheme="minorHAnsi"/>
          <w:iCs/>
          <w:sz w:val="22"/>
          <w:szCs w:val="22"/>
        </w:rPr>
        <w:t>se sont penchés sur le cheminement à suivre lorsqu’il s’agit d’apprécier la discrimination sur le handicap</w:t>
      </w:r>
      <w:r w:rsidRPr="006E3CAB">
        <w:rPr>
          <w:rStyle w:val="Appelnotedebasdep"/>
          <w:rFonts w:asciiTheme="minorHAnsi" w:hAnsiTheme="minorHAnsi" w:cstheme="minorHAnsi"/>
          <w:iCs/>
          <w:sz w:val="22"/>
          <w:szCs w:val="22"/>
        </w:rPr>
        <w:footnoteReference w:id="5"/>
      </w:r>
      <w:r w:rsidRPr="006E3CAB">
        <w:rPr>
          <w:rFonts w:asciiTheme="minorHAnsi" w:hAnsiTheme="minorHAnsi" w:cstheme="minorHAnsi"/>
          <w:iCs/>
          <w:sz w:val="22"/>
          <w:szCs w:val="22"/>
        </w:rPr>
        <w:t>.</w:t>
      </w:r>
    </w:p>
    <w:p w14:paraId="7DBE814B" w14:textId="77777777" w:rsidR="00A41FC4" w:rsidRPr="006E3CAB" w:rsidRDefault="00A41FC4" w:rsidP="00D368C9">
      <w:pPr>
        <w:pStyle w:val="Corpsdetexte"/>
        <w:tabs>
          <w:tab w:val="right" w:pos="7088"/>
        </w:tabs>
        <w:spacing w:before="100" w:beforeAutospacing="1" w:after="100" w:afterAutospacing="1"/>
        <w:contextualSpacing/>
        <w:rPr>
          <w:rFonts w:asciiTheme="minorHAnsi" w:hAnsiTheme="minorHAnsi" w:cstheme="minorHAnsi"/>
          <w:iCs/>
          <w:sz w:val="22"/>
          <w:szCs w:val="22"/>
        </w:rPr>
      </w:pPr>
    </w:p>
    <w:p w14:paraId="107315A8" w14:textId="017F6740" w:rsidR="00A41FC4" w:rsidRPr="006E3CAB" w:rsidRDefault="00A41FC4" w:rsidP="00D368C9">
      <w:pPr>
        <w:pStyle w:val="Corpsdetexte"/>
        <w:tabs>
          <w:tab w:val="right" w:pos="7088"/>
        </w:tabs>
        <w:spacing w:before="100" w:beforeAutospacing="1" w:after="100" w:afterAutospacing="1"/>
        <w:contextualSpacing/>
        <w:rPr>
          <w:rFonts w:asciiTheme="minorHAnsi" w:hAnsiTheme="minorHAnsi" w:cstheme="minorHAnsi"/>
          <w:sz w:val="22"/>
          <w:szCs w:val="22"/>
        </w:rPr>
      </w:pPr>
      <w:r w:rsidRPr="006E3CAB">
        <w:rPr>
          <w:rFonts w:asciiTheme="minorHAnsi" w:hAnsiTheme="minorHAnsi" w:cstheme="minorHAnsi"/>
          <w:sz w:val="22"/>
          <w:szCs w:val="22"/>
        </w:rPr>
        <w:t xml:space="preserve">La notion de handicap n’est pas définie par la loi du 10 mai 2007, il faut </w:t>
      </w:r>
      <w:r w:rsidR="00404778">
        <w:rPr>
          <w:rFonts w:asciiTheme="minorHAnsi" w:hAnsiTheme="minorHAnsi" w:cstheme="minorHAnsi"/>
          <w:sz w:val="22"/>
          <w:szCs w:val="22"/>
        </w:rPr>
        <w:t xml:space="preserve">donc </w:t>
      </w:r>
      <w:r w:rsidRPr="006E3CAB">
        <w:rPr>
          <w:rFonts w:asciiTheme="minorHAnsi" w:hAnsiTheme="minorHAnsi" w:cstheme="minorHAnsi"/>
          <w:sz w:val="22"/>
          <w:szCs w:val="22"/>
        </w:rPr>
        <w:t xml:space="preserve">se référer au droit européen. </w:t>
      </w:r>
    </w:p>
    <w:p w14:paraId="23F09F09" w14:textId="55CF1810" w:rsidR="00A41FC4" w:rsidRPr="006E3CAB" w:rsidRDefault="00A41FC4" w:rsidP="00D368C9">
      <w:pPr>
        <w:shd w:val="clear" w:color="auto" w:fill="FFFFFF"/>
        <w:spacing w:before="100" w:beforeAutospacing="1" w:after="100" w:afterAutospacing="1" w:line="240" w:lineRule="auto"/>
        <w:contextualSpacing/>
        <w:jc w:val="both"/>
        <w:rPr>
          <w:rFonts w:cstheme="minorHAnsi"/>
          <w:color w:val="1D1D1B"/>
          <w:lang w:val="fr-BE"/>
        </w:rPr>
      </w:pPr>
      <w:r w:rsidRPr="006E3CAB">
        <w:rPr>
          <w:rFonts w:cstheme="minorHAnsi"/>
          <w:color w:val="1D1D1B"/>
          <w:lang w:val="fr-BE"/>
        </w:rPr>
        <w:t>Par son arrêt du 11 avril 2013, la Cour de justice de l’</w:t>
      </w:r>
      <w:r w:rsidR="00404778">
        <w:rPr>
          <w:rFonts w:cstheme="minorHAnsi"/>
          <w:color w:val="1D1D1B"/>
          <w:lang w:val="fr-BE"/>
        </w:rPr>
        <w:t>U</w:t>
      </w:r>
      <w:r w:rsidRPr="006E3CAB">
        <w:rPr>
          <w:rFonts w:cstheme="minorHAnsi"/>
          <w:color w:val="1D1D1B"/>
          <w:lang w:val="fr-BE"/>
        </w:rPr>
        <w:t>nion européenne considère que :</w:t>
      </w:r>
    </w:p>
    <w:tbl>
      <w:tblPr>
        <w:tblW w:w="5000" w:type="pct"/>
        <w:tblCellSpacing w:w="0" w:type="dxa"/>
        <w:tblCellMar>
          <w:left w:w="0" w:type="dxa"/>
          <w:right w:w="0" w:type="dxa"/>
        </w:tblCellMar>
        <w:tblLook w:val="04A0" w:firstRow="1" w:lastRow="0" w:firstColumn="1" w:lastColumn="0" w:noHBand="0" w:noVBand="1"/>
      </w:tblPr>
      <w:tblGrid>
        <w:gridCol w:w="9360"/>
      </w:tblGrid>
      <w:tr w:rsidR="00A41FC4" w:rsidRPr="00AC7907" w14:paraId="08E7A42D" w14:textId="77777777" w:rsidTr="00D46950">
        <w:trPr>
          <w:tblCellSpacing w:w="0" w:type="dxa"/>
        </w:trPr>
        <w:tc>
          <w:tcPr>
            <w:tcW w:w="0" w:type="auto"/>
            <w:hideMark/>
          </w:tcPr>
          <w:p w14:paraId="6111F4C2" w14:textId="77777777" w:rsidR="00A41FC4" w:rsidRPr="006E3CAB" w:rsidRDefault="00A41FC4" w:rsidP="00525EA5">
            <w:pPr>
              <w:spacing w:before="100" w:beforeAutospacing="1" w:after="100" w:afterAutospacing="1" w:line="240" w:lineRule="auto"/>
              <w:ind w:left="426"/>
              <w:contextualSpacing/>
              <w:jc w:val="both"/>
              <w:rPr>
                <w:rFonts w:eastAsia="Times New Roman" w:cstheme="minorHAnsi"/>
                <w:i/>
                <w:color w:val="000000"/>
                <w:lang w:val="fr-BE" w:eastAsia="en-GB"/>
              </w:rPr>
            </w:pPr>
            <w:r w:rsidRPr="006E3CAB">
              <w:rPr>
                <w:rFonts w:eastAsia="Times New Roman" w:cstheme="minorHAnsi"/>
                <w:i/>
                <w:color w:val="000000"/>
                <w:lang w:val="fr-BE" w:eastAsia="en-GB"/>
              </w:rPr>
              <w:t xml:space="preserve">« 36. Il convient de rappeler que la notion de «handicap» n’est pas définie par la directive 2000/78 elle-même. C’est ainsi que la Cour, au point 43 de l’arrêt </w:t>
            </w:r>
            <w:proofErr w:type="spellStart"/>
            <w:r w:rsidRPr="006E3CAB">
              <w:rPr>
                <w:rFonts w:eastAsia="Times New Roman" w:cstheme="minorHAnsi"/>
                <w:i/>
                <w:color w:val="000000"/>
                <w:lang w:val="fr-BE" w:eastAsia="en-GB"/>
              </w:rPr>
              <w:t>Chacón</w:t>
            </w:r>
            <w:proofErr w:type="spellEnd"/>
            <w:r w:rsidRPr="006E3CAB">
              <w:rPr>
                <w:rFonts w:eastAsia="Times New Roman" w:cstheme="minorHAnsi"/>
                <w:i/>
                <w:color w:val="000000"/>
                <w:lang w:val="fr-BE" w:eastAsia="en-GB"/>
              </w:rPr>
              <w:t xml:space="preserve"> </w:t>
            </w:r>
            <w:proofErr w:type="spellStart"/>
            <w:r w:rsidRPr="006E3CAB">
              <w:rPr>
                <w:rFonts w:eastAsia="Times New Roman" w:cstheme="minorHAnsi"/>
                <w:i/>
                <w:color w:val="000000"/>
                <w:lang w:val="fr-BE" w:eastAsia="en-GB"/>
              </w:rPr>
              <w:t>Navas</w:t>
            </w:r>
            <w:proofErr w:type="spellEnd"/>
            <w:r w:rsidRPr="006E3CAB">
              <w:rPr>
                <w:rFonts w:eastAsia="Times New Roman" w:cstheme="minorHAnsi"/>
                <w:i/>
                <w:color w:val="000000"/>
                <w:lang w:val="fr-BE" w:eastAsia="en-GB"/>
              </w:rPr>
              <w:t xml:space="preserve">, précité, a jugé que cette notion doit être entendue comme visant </w:t>
            </w:r>
            <w:r w:rsidRPr="00915A0E">
              <w:rPr>
                <w:rFonts w:eastAsia="Times New Roman" w:cstheme="minorHAnsi"/>
                <w:i/>
                <w:color w:val="000000"/>
                <w:u w:val="single"/>
                <w:lang w:val="fr-BE" w:eastAsia="en-GB"/>
              </w:rPr>
              <w:t>une limitation, résultant notamment d’atteintes physiques, mentales ou psychiques et entravant la participation de la personne concernée à la vie professionnelle</w:t>
            </w:r>
            <w:r w:rsidRPr="006E3CAB">
              <w:rPr>
                <w:rFonts w:eastAsia="Times New Roman" w:cstheme="minorHAnsi"/>
                <w:i/>
                <w:color w:val="000000"/>
                <w:lang w:val="fr-BE" w:eastAsia="en-GB"/>
              </w:rPr>
              <w:t>.</w:t>
            </w:r>
          </w:p>
        </w:tc>
      </w:tr>
    </w:tbl>
    <w:p w14:paraId="399202D4" w14:textId="77777777" w:rsidR="00A41FC4" w:rsidRPr="006E3CAB" w:rsidRDefault="00A41FC4" w:rsidP="00525EA5">
      <w:pPr>
        <w:spacing w:before="100" w:beforeAutospacing="1" w:after="100" w:afterAutospacing="1" w:line="240" w:lineRule="auto"/>
        <w:ind w:left="426"/>
        <w:contextualSpacing/>
        <w:jc w:val="both"/>
        <w:rPr>
          <w:rFonts w:eastAsia="Times New Roman" w:cstheme="minorHAnsi"/>
          <w:i/>
          <w:vanish/>
          <w:lang w:val="en-GB" w:eastAsia="en-GB"/>
        </w:rPr>
      </w:pPr>
    </w:p>
    <w:tbl>
      <w:tblPr>
        <w:tblW w:w="5000" w:type="pct"/>
        <w:tblCellSpacing w:w="0" w:type="dxa"/>
        <w:tblLayout w:type="fixed"/>
        <w:tblCellMar>
          <w:left w:w="0" w:type="dxa"/>
          <w:right w:w="0" w:type="dxa"/>
        </w:tblCellMar>
        <w:tblLook w:val="04A0" w:firstRow="1" w:lastRow="0" w:firstColumn="1" w:lastColumn="0" w:noHBand="0" w:noVBand="1"/>
      </w:tblPr>
      <w:tblGrid>
        <w:gridCol w:w="427"/>
        <w:gridCol w:w="8933"/>
      </w:tblGrid>
      <w:tr w:rsidR="00A41FC4" w:rsidRPr="00AC7907" w14:paraId="3790A89D" w14:textId="77777777" w:rsidTr="00033C3E">
        <w:trPr>
          <w:tblCellSpacing w:w="0" w:type="dxa"/>
        </w:trPr>
        <w:tc>
          <w:tcPr>
            <w:tcW w:w="228" w:type="pct"/>
            <w:hideMark/>
          </w:tcPr>
          <w:p w14:paraId="31834680" w14:textId="77777777" w:rsidR="00A41FC4" w:rsidRPr="006E3CAB" w:rsidRDefault="00A41FC4" w:rsidP="00525EA5">
            <w:pPr>
              <w:spacing w:before="100" w:beforeAutospacing="1" w:after="100" w:afterAutospacing="1" w:line="240" w:lineRule="auto"/>
              <w:ind w:left="426"/>
              <w:contextualSpacing/>
              <w:jc w:val="both"/>
              <w:textAlignment w:val="top"/>
              <w:rPr>
                <w:rFonts w:eastAsia="Times New Roman" w:cstheme="minorHAnsi"/>
                <w:i/>
                <w:color w:val="000000"/>
                <w:lang w:val="en-GB" w:eastAsia="en-GB"/>
              </w:rPr>
            </w:pPr>
            <w:r w:rsidRPr="006E3CAB">
              <w:rPr>
                <w:rFonts w:eastAsia="Times New Roman" w:cstheme="minorHAnsi"/>
                <w:i/>
                <w:color w:val="000000"/>
                <w:lang w:val="en-GB" w:eastAsia="en-GB"/>
              </w:rPr>
              <w:t>37</w:t>
            </w:r>
          </w:p>
        </w:tc>
        <w:tc>
          <w:tcPr>
            <w:tcW w:w="4772" w:type="pct"/>
            <w:hideMark/>
          </w:tcPr>
          <w:p w14:paraId="14345AEB" w14:textId="3057B493" w:rsidR="00A41FC4" w:rsidRPr="006E3CAB" w:rsidRDefault="00033C3E" w:rsidP="00525EA5">
            <w:pPr>
              <w:spacing w:before="100" w:beforeAutospacing="1" w:after="100" w:afterAutospacing="1" w:line="240" w:lineRule="auto"/>
              <w:contextualSpacing/>
              <w:jc w:val="both"/>
              <w:rPr>
                <w:rFonts w:eastAsia="Times New Roman" w:cstheme="minorHAnsi"/>
                <w:i/>
                <w:color w:val="000000"/>
                <w:lang w:val="fr-BE" w:eastAsia="en-GB"/>
              </w:rPr>
            </w:pPr>
            <w:r w:rsidRPr="00033C3E">
              <w:rPr>
                <w:rFonts w:eastAsia="Times New Roman" w:cstheme="minorHAnsi"/>
                <w:i/>
                <w:color w:val="000000"/>
                <w:lang w:val="fr-BE" w:eastAsia="en-GB"/>
              </w:rPr>
              <w:t>37</w:t>
            </w:r>
            <w:r>
              <w:rPr>
                <w:rFonts w:eastAsia="Times New Roman" w:cstheme="minorHAnsi"/>
                <w:i/>
                <w:color w:val="000000"/>
                <w:lang w:val="fr-BE" w:eastAsia="en-GB"/>
              </w:rPr>
              <w:t xml:space="preserve">. </w:t>
            </w:r>
            <w:r w:rsidR="00A41FC4" w:rsidRPr="006E3CAB">
              <w:rPr>
                <w:rFonts w:eastAsia="Times New Roman" w:cstheme="minorHAnsi"/>
                <w:i/>
                <w:color w:val="000000"/>
                <w:lang w:val="fr-BE" w:eastAsia="en-GB"/>
              </w:rPr>
              <w:t xml:space="preserve">Pour sa part, la convention de l’ONU, ratifiée par l’Union par décision du 26 novembre 2009, soit après le prononcé de l’arrêt </w:t>
            </w:r>
            <w:proofErr w:type="spellStart"/>
            <w:r w:rsidR="00A41FC4" w:rsidRPr="006E3CAB">
              <w:rPr>
                <w:rFonts w:eastAsia="Times New Roman" w:cstheme="minorHAnsi"/>
                <w:i/>
                <w:color w:val="000000"/>
                <w:lang w:val="fr-BE" w:eastAsia="en-GB"/>
              </w:rPr>
              <w:t>Chacón</w:t>
            </w:r>
            <w:proofErr w:type="spellEnd"/>
            <w:r w:rsidR="00833054" w:rsidRPr="006E3CAB">
              <w:rPr>
                <w:rFonts w:eastAsia="Times New Roman" w:cstheme="minorHAnsi"/>
                <w:i/>
                <w:color w:val="000000"/>
                <w:lang w:val="fr-BE" w:eastAsia="en-GB"/>
              </w:rPr>
              <w:t xml:space="preserve"> </w:t>
            </w:r>
            <w:proofErr w:type="spellStart"/>
            <w:r w:rsidR="00A41FC4" w:rsidRPr="006E3CAB">
              <w:rPr>
                <w:rFonts w:eastAsia="Times New Roman" w:cstheme="minorHAnsi"/>
                <w:i/>
                <w:color w:val="000000"/>
                <w:lang w:val="fr-BE" w:eastAsia="en-GB"/>
              </w:rPr>
              <w:t>Navas</w:t>
            </w:r>
            <w:proofErr w:type="spellEnd"/>
            <w:r w:rsidR="00A41FC4" w:rsidRPr="006E3CAB">
              <w:rPr>
                <w:rFonts w:eastAsia="Times New Roman" w:cstheme="minorHAnsi"/>
                <w:i/>
                <w:color w:val="000000"/>
                <w:lang w:val="fr-BE" w:eastAsia="en-GB"/>
              </w:rPr>
              <w:t>, précité, reconnaît à son considérant e) que «la notion de handicap évolue et que le handicap résulte de l’interaction entre des personnes présentant des incapacités et les barrières comportementales et environnementales qui font obstacle à leur pleine et effective participation à la société sur la base de l’égalité avec les autres». Ainsi, l’article 1</w:t>
            </w:r>
            <w:r w:rsidR="00A41FC4" w:rsidRPr="006E3CAB">
              <w:rPr>
                <w:rFonts w:eastAsia="Times New Roman" w:cstheme="minorHAnsi"/>
                <w:i/>
                <w:color w:val="000000"/>
                <w:vertAlign w:val="superscript"/>
                <w:lang w:val="fr-BE" w:eastAsia="en-GB"/>
              </w:rPr>
              <w:t>er</w:t>
            </w:r>
            <w:r w:rsidR="00A41FC4" w:rsidRPr="006E3CAB">
              <w:rPr>
                <w:rFonts w:eastAsia="Times New Roman" w:cstheme="minorHAnsi"/>
                <w:i/>
                <w:color w:val="000000"/>
                <w:lang w:val="fr-BE" w:eastAsia="en-GB"/>
              </w:rPr>
              <w:t xml:space="preserve">, second alinéa, de cette convention stipule que sont </w:t>
            </w:r>
            <w:r w:rsidR="00A41FC4" w:rsidRPr="006959DB">
              <w:rPr>
                <w:rFonts w:eastAsia="Times New Roman" w:cstheme="minorHAnsi"/>
                <w:i/>
                <w:color w:val="000000"/>
                <w:lang w:val="fr-BE" w:eastAsia="en-GB"/>
              </w:rPr>
              <w:t>des personnes handicapées celles «qui présentent des incapacités physiques, mentales, intellectuelles ou sensorielles durables dont l’interaction avec diverses barrières peut faire obstacle à leur pleine et effective participation à la société sur la base de l’égalité avec les autres</w:t>
            </w:r>
            <w:r w:rsidR="00A41FC4" w:rsidRPr="006E3CAB">
              <w:rPr>
                <w:rFonts w:eastAsia="Times New Roman" w:cstheme="minorHAnsi"/>
                <w:i/>
                <w:color w:val="000000"/>
                <w:lang w:val="fr-BE" w:eastAsia="en-GB"/>
              </w:rPr>
              <w:t>».</w:t>
            </w:r>
          </w:p>
        </w:tc>
      </w:tr>
    </w:tbl>
    <w:p w14:paraId="43A14E33" w14:textId="77777777" w:rsidR="00A41FC4" w:rsidRPr="003003C8" w:rsidRDefault="00A41FC4" w:rsidP="00D368C9">
      <w:pPr>
        <w:spacing w:before="100" w:beforeAutospacing="1" w:after="100" w:afterAutospacing="1" w:line="240" w:lineRule="auto"/>
        <w:contextualSpacing/>
        <w:jc w:val="both"/>
        <w:rPr>
          <w:rFonts w:eastAsia="Times New Roman" w:cstheme="minorHAnsi"/>
          <w:i/>
          <w:vanish/>
          <w:lang w:val="fr-BE" w:eastAsia="en-GB"/>
        </w:rPr>
      </w:pPr>
    </w:p>
    <w:tbl>
      <w:tblPr>
        <w:tblW w:w="5000" w:type="pct"/>
        <w:tblCellSpacing w:w="0" w:type="dxa"/>
        <w:tblCellMar>
          <w:left w:w="0" w:type="dxa"/>
          <w:right w:w="0" w:type="dxa"/>
        </w:tblCellMar>
        <w:tblLook w:val="04A0" w:firstRow="1" w:lastRow="0" w:firstColumn="1" w:lastColumn="0" w:noHBand="0" w:noVBand="1"/>
      </w:tblPr>
      <w:tblGrid>
        <w:gridCol w:w="427"/>
        <w:gridCol w:w="8933"/>
      </w:tblGrid>
      <w:tr w:rsidR="00A41FC4" w:rsidRPr="00AC7907" w14:paraId="1CC3BFCB" w14:textId="77777777" w:rsidTr="00C95F1C">
        <w:trPr>
          <w:tblCellSpacing w:w="0" w:type="dxa"/>
        </w:trPr>
        <w:tc>
          <w:tcPr>
            <w:tcW w:w="228" w:type="pct"/>
            <w:hideMark/>
          </w:tcPr>
          <w:p w14:paraId="1E41D917" w14:textId="6C4EBA13" w:rsidR="00A41FC4" w:rsidRPr="003003C8" w:rsidRDefault="00A41FC4" w:rsidP="00D368C9">
            <w:pPr>
              <w:spacing w:before="100" w:beforeAutospacing="1" w:after="100" w:afterAutospacing="1" w:line="240" w:lineRule="auto"/>
              <w:contextualSpacing/>
              <w:jc w:val="both"/>
              <w:textAlignment w:val="top"/>
              <w:rPr>
                <w:rFonts w:eastAsia="Times New Roman" w:cstheme="minorHAnsi"/>
                <w:i/>
                <w:color w:val="000000"/>
                <w:lang w:val="fr-BE" w:eastAsia="en-GB"/>
              </w:rPr>
            </w:pPr>
          </w:p>
        </w:tc>
        <w:tc>
          <w:tcPr>
            <w:tcW w:w="4772" w:type="pct"/>
            <w:hideMark/>
          </w:tcPr>
          <w:p w14:paraId="5F3203AC" w14:textId="3EF152C7" w:rsidR="00A41FC4" w:rsidRPr="006E3CAB" w:rsidRDefault="006959DB" w:rsidP="00D368C9">
            <w:pPr>
              <w:spacing w:before="100" w:beforeAutospacing="1" w:after="100" w:afterAutospacing="1" w:line="240" w:lineRule="auto"/>
              <w:contextualSpacing/>
              <w:jc w:val="both"/>
              <w:rPr>
                <w:rFonts w:eastAsia="Times New Roman" w:cstheme="minorHAnsi"/>
                <w:i/>
                <w:color w:val="000000"/>
                <w:lang w:val="fr-BE" w:eastAsia="en-GB"/>
              </w:rPr>
            </w:pPr>
            <w:r>
              <w:rPr>
                <w:rFonts w:eastAsia="Times New Roman" w:cstheme="minorHAnsi"/>
                <w:i/>
                <w:color w:val="000000"/>
                <w:lang w:val="fr-BE" w:eastAsia="en-GB"/>
              </w:rPr>
              <w:t xml:space="preserve">38. </w:t>
            </w:r>
            <w:r w:rsidR="00A41FC4" w:rsidRPr="006E3CAB">
              <w:rPr>
                <w:rFonts w:eastAsia="Times New Roman" w:cstheme="minorHAnsi"/>
                <w:i/>
                <w:color w:val="000000"/>
                <w:lang w:val="fr-BE" w:eastAsia="en-GB"/>
              </w:rPr>
              <w:t xml:space="preserve">Eu égard aux considérations mentionnées aux points 28 à 32 du présent arrêt, la notion de «handicap» doit être entendue comme visant </w:t>
            </w:r>
            <w:r w:rsidR="00A41FC4" w:rsidRPr="00C47083">
              <w:rPr>
                <w:rFonts w:eastAsia="Times New Roman" w:cstheme="minorHAnsi"/>
                <w:i/>
                <w:color w:val="000000"/>
                <w:u w:val="single"/>
                <w:lang w:val="fr-BE" w:eastAsia="en-GB"/>
              </w:rPr>
              <w:t>une limitation, résultant notamment d’atteintes physiques, mentales ou psychiques, dont l’interaction avec diverses barrières peut faire obstacle à la pleine et effective participation de la personne concernée à la vie professionnelle sur la base de l’égalité avec les autres travailleurs</w:t>
            </w:r>
            <w:r w:rsidR="00A41FC4" w:rsidRPr="006E3CAB">
              <w:rPr>
                <w:rFonts w:eastAsia="Times New Roman" w:cstheme="minorHAnsi"/>
                <w:i/>
                <w:color w:val="000000"/>
                <w:lang w:val="fr-BE" w:eastAsia="en-GB"/>
              </w:rPr>
              <w:t>.</w:t>
            </w:r>
          </w:p>
        </w:tc>
      </w:tr>
    </w:tbl>
    <w:p w14:paraId="1CA18E36" w14:textId="77777777" w:rsidR="00A41FC4" w:rsidRPr="006E3CAB" w:rsidRDefault="00A41FC4" w:rsidP="00D368C9">
      <w:pPr>
        <w:spacing w:before="100" w:beforeAutospacing="1" w:after="100" w:afterAutospacing="1" w:line="240" w:lineRule="auto"/>
        <w:contextualSpacing/>
        <w:jc w:val="both"/>
        <w:rPr>
          <w:rFonts w:eastAsia="Times New Roman" w:cstheme="minorHAnsi"/>
          <w:i/>
          <w:vanish/>
          <w:lang w:val="en-GB" w:eastAsia="en-GB"/>
        </w:rPr>
      </w:pPr>
    </w:p>
    <w:tbl>
      <w:tblPr>
        <w:tblW w:w="4880" w:type="pct"/>
        <w:tblCellSpacing w:w="0" w:type="dxa"/>
        <w:tblCellMar>
          <w:left w:w="0" w:type="dxa"/>
          <w:right w:w="0" w:type="dxa"/>
        </w:tblCellMar>
        <w:tblLook w:val="04A0" w:firstRow="1" w:lastRow="0" w:firstColumn="1" w:lastColumn="0" w:noHBand="0" w:noVBand="1"/>
      </w:tblPr>
      <w:tblGrid>
        <w:gridCol w:w="9135"/>
      </w:tblGrid>
      <w:tr w:rsidR="00CC7A5D" w:rsidRPr="00AC7907" w14:paraId="23BE6F3C" w14:textId="77777777" w:rsidTr="00CC7A5D">
        <w:trPr>
          <w:tblCellSpacing w:w="0" w:type="dxa"/>
        </w:trPr>
        <w:tc>
          <w:tcPr>
            <w:tcW w:w="0" w:type="auto"/>
            <w:hideMark/>
          </w:tcPr>
          <w:p w14:paraId="3F510F22" w14:textId="2ABE290D" w:rsidR="00CC7A5D" w:rsidRPr="006E3CAB" w:rsidRDefault="00ED4154" w:rsidP="00CC7A5D">
            <w:pPr>
              <w:spacing w:before="100" w:beforeAutospacing="1" w:after="100" w:afterAutospacing="1" w:line="240" w:lineRule="auto"/>
              <w:ind w:left="426"/>
              <w:contextualSpacing/>
              <w:jc w:val="both"/>
              <w:rPr>
                <w:rFonts w:eastAsia="Times New Roman" w:cstheme="minorHAnsi"/>
                <w:i/>
                <w:color w:val="000000"/>
                <w:lang w:val="fr-BE" w:eastAsia="en-GB"/>
              </w:rPr>
            </w:pPr>
            <w:r>
              <w:rPr>
                <w:rFonts w:eastAsia="Times New Roman" w:cstheme="minorHAnsi"/>
                <w:i/>
                <w:color w:val="000000"/>
                <w:lang w:val="fr-BE" w:eastAsia="en-GB"/>
              </w:rPr>
              <w:t xml:space="preserve">39. </w:t>
            </w:r>
            <w:r w:rsidR="00CC7A5D" w:rsidRPr="006E3CAB">
              <w:rPr>
                <w:rFonts w:eastAsia="Times New Roman" w:cstheme="minorHAnsi"/>
                <w:i/>
                <w:color w:val="000000"/>
                <w:lang w:val="fr-BE" w:eastAsia="en-GB"/>
              </w:rPr>
              <w:t>En outre, il ressort de l’article 1</w:t>
            </w:r>
            <w:r w:rsidR="00CC7A5D" w:rsidRPr="006E3CAB">
              <w:rPr>
                <w:rFonts w:eastAsia="Times New Roman" w:cstheme="minorHAnsi"/>
                <w:i/>
                <w:color w:val="000000"/>
                <w:vertAlign w:val="superscript"/>
                <w:lang w:val="fr-BE" w:eastAsia="en-GB"/>
              </w:rPr>
              <w:t>er</w:t>
            </w:r>
            <w:r w:rsidR="00CC7A5D" w:rsidRPr="006E3CAB">
              <w:rPr>
                <w:rFonts w:eastAsia="Times New Roman" w:cstheme="minorHAnsi"/>
                <w:i/>
                <w:color w:val="000000"/>
                <w:lang w:val="fr-BE" w:eastAsia="en-GB"/>
              </w:rPr>
              <w:t>, second alinéa, de la convention de l’ONU que les incapacités physiques, mentales, intellectuelles ou sensorielles doivent être «durables».</w:t>
            </w:r>
          </w:p>
        </w:tc>
      </w:tr>
    </w:tbl>
    <w:p w14:paraId="5BBE0924" w14:textId="77777777" w:rsidR="00A41FC4" w:rsidRPr="006E3CAB" w:rsidRDefault="00A41FC4" w:rsidP="00CC7A5D">
      <w:pPr>
        <w:spacing w:before="100" w:beforeAutospacing="1" w:after="100" w:afterAutospacing="1" w:line="240" w:lineRule="auto"/>
        <w:ind w:left="426"/>
        <w:contextualSpacing/>
        <w:jc w:val="both"/>
        <w:rPr>
          <w:rFonts w:eastAsia="Times New Roman" w:cstheme="minorHAnsi"/>
          <w:i/>
          <w:vanish/>
          <w:lang w:val="en-GB" w:eastAsia="en-GB"/>
        </w:rPr>
      </w:pPr>
    </w:p>
    <w:tbl>
      <w:tblPr>
        <w:tblW w:w="4880" w:type="pct"/>
        <w:tblCellSpacing w:w="0" w:type="dxa"/>
        <w:tblCellMar>
          <w:left w:w="0" w:type="dxa"/>
          <w:right w:w="0" w:type="dxa"/>
        </w:tblCellMar>
        <w:tblLook w:val="04A0" w:firstRow="1" w:lastRow="0" w:firstColumn="1" w:lastColumn="0" w:noHBand="0" w:noVBand="1"/>
      </w:tblPr>
      <w:tblGrid>
        <w:gridCol w:w="9135"/>
      </w:tblGrid>
      <w:tr w:rsidR="00CC7A5D" w:rsidRPr="00AC7907" w14:paraId="384C5E26" w14:textId="77777777" w:rsidTr="00CC7A5D">
        <w:trPr>
          <w:tblCellSpacing w:w="0" w:type="dxa"/>
        </w:trPr>
        <w:tc>
          <w:tcPr>
            <w:tcW w:w="0" w:type="auto"/>
            <w:hideMark/>
          </w:tcPr>
          <w:p w14:paraId="354878BB" w14:textId="09FE9FEA" w:rsidR="00CC7A5D" w:rsidRPr="006E3CAB" w:rsidRDefault="00ED4154" w:rsidP="00CC7A5D">
            <w:pPr>
              <w:spacing w:before="100" w:beforeAutospacing="1" w:after="100" w:afterAutospacing="1" w:line="240" w:lineRule="auto"/>
              <w:ind w:left="426"/>
              <w:contextualSpacing/>
              <w:jc w:val="both"/>
              <w:rPr>
                <w:rFonts w:eastAsia="Times New Roman" w:cstheme="minorHAnsi"/>
                <w:i/>
                <w:color w:val="000000"/>
                <w:lang w:val="fr-BE" w:eastAsia="en-GB"/>
              </w:rPr>
            </w:pPr>
            <w:r>
              <w:rPr>
                <w:rFonts w:eastAsia="Times New Roman" w:cstheme="minorHAnsi"/>
                <w:i/>
                <w:color w:val="000000"/>
                <w:lang w:val="fr-BE" w:eastAsia="en-GB"/>
              </w:rPr>
              <w:t xml:space="preserve">40. </w:t>
            </w:r>
            <w:r w:rsidR="00CC7A5D" w:rsidRPr="006E3CAB">
              <w:rPr>
                <w:rFonts w:eastAsia="Times New Roman" w:cstheme="minorHAnsi"/>
                <w:i/>
                <w:color w:val="000000"/>
                <w:lang w:val="fr-BE" w:eastAsia="en-GB"/>
              </w:rPr>
              <w:t>Il convient d’ajouter encore que, ainsi que l’a relevé M</w:t>
            </w:r>
            <w:r w:rsidR="00CC7A5D" w:rsidRPr="006E3CAB">
              <w:rPr>
                <w:rFonts w:eastAsia="Times New Roman" w:cstheme="minorHAnsi"/>
                <w:i/>
                <w:color w:val="000000"/>
                <w:vertAlign w:val="superscript"/>
                <w:lang w:val="fr-BE" w:eastAsia="en-GB"/>
              </w:rPr>
              <w:t>me</w:t>
            </w:r>
            <w:r w:rsidR="00CC7A5D" w:rsidRPr="006E3CAB">
              <w:rPr>
                <w:rFonts w:eastAsia="Times New Roman" w:cstheme="minorHAnsi"/>
                <w:i/>
                <w:color w:val="000000"/>
                <w:lang w:val="fr-BE" w:eastAsia="en-GB"/>
              </w:rPr>
              <w:t xml:space="preserve"> l’avocat général au point 32 de ses conclusions, il n’apparaît pas que la directive 2000/78 vise à couvrir seulement les handicaps de naissance ou d’origine accidentelle en excluant ceux causés par une maladie. En effet, il irait à l’encontre de l’objectif même de cette directive, qui est de mettre en œuvre l’égalité de traitement, d’admettre que celle-ci puisse s’appliquer en fonction de l’origine du handicap » </w:t>
            </w:r>
            <w:r w:rsidR="00CC7A5D" w:rsidRPr="006E3CAB">
              <w:rPr>
                <w:rStyle w:val="Appelnotedebasdep"/>
                <w:rFonts w:cstheme="minorHAnsi"/>
                <w:i/>
                <w:color w:val="1D1D1B"/>
                <w:lang w:val="fr-BE"/>
              </w:rPr>
              <w:footnoteReference w:id="6"/>
            </w:r>
            <w:r w:rsidR="00CC7A5D" w:rsidRPr="006E3CAB">
              <w:rPr>
                <w:rFonts w:eastAsia="Times New Roman" w:cstheme="minorHAnsi"/>
                <w:i/>
                <w:color w:val="000000"/>
                <w:lang w:val="fr-BE" w:eastAsia="en-GB"/>
              </w:rPr>
              <w:t>.</w:t>
            </w:r>
          </w:p>
        </w:tc>
      </w:tr>
    </w:tbl>
    <w:p w14:paraId="64C4A4D4" w14:textId="77777777" w:rsidR="00A41FC4" w:rsidRPr="006E3CAB" w:rsidRDefault="00A41FC4" w:rsidP="00D368C9">
      <w:pPr>
        <w:shd w:val="clear" w:color="auto" w:fill="FFFFFF"/>
        <w:spacing w:before="100" w:beforeAutospacing="1" w:after="100" w:afterAutospacing="1" w:line="240" w:lineRule="auto"/>
        <w:contextualSpacing/>
        <w:jc w:val="both"/>
        <w:rPr>
          <w:rFonts w:cstheme="minorHAnsi"/>
          <w:b/>
          <w:color w:val="1D1D1B"/>
          <w:lang w:val="fr-BE"/>
        </w:rPr>
      </w:pPr>
    </w:p>
    <w:p w14:paraId="4CC7C433" w14:textId="275A05F3" w:rsidR="00A41FC4" w:rsidRPr="006E3CAB" w:rsidRDefault="0043243C" w:rsidP="0043243C">
      <w:pPr>
        <w:pStyle w:val="Liste"/>
        <w:spacing w:before="100" w:beforeAutospacing="1" w:after="100" w:afterAutospacing="1"/>
        <w:contextualSpacing/>
        <w:jc w:val="both"/>
        <w:rPr>
          <w:rFonts w:asciiTheme="minorHAnsi" w:hAnsiTheme="minorHAnsi" w:cstheme="minorHAnsi"/>
          <w:bCs/>
          <w:i/>
          <w:sz w:val="22"/>
          <w:szCs w:val="22"/>
        </w:rPr>
      </w:pPr>
      <w:r>
        <w:rPr>
          <w:rFonts w:asciiTheme="minorHAnsi" w:hAnsiTheme="minorHAnsi" w:cstheme="minorHAnsi"/>
          <w:b/>
          <w:bCs/>
          <w:sz w:val="22"/>
          <w:szCs w:val="22"/>
          <w:u w:val="single"/>
        </w:rPr>
        <w:t xml:space="preserve">A.2. </w:t>
      </w:r>
      <w:r w:rsidR="00A41FC4" w:rsidRPr="006E3CAB">
        <w:rPr>
          <w:rFonts w:asciiTheme="minorHAnsi" w:hAnsiTheme="minorHAnsi" w:cstheme="minorHAnsi"/>
          <w:b/>
          <w:bCs/>
          <w:sz w:val="22"/>
          <w:szCs w:val="22"/>
          <w:u w:val="single"/>
        </w:rPr>
        <w:t>A</w:t>
      </w:r>
      <w:r w:rsidR="00D86757">
        <w:rPr>
          <w:rFonts w:asciiTheme="minorHAnsi" w:hAnsiTheme="minorHAnsi" w:cstheme="minorHAnsi"/>
          <w:b/>
          <w:bCs/>
          <w:sz w:val="22"/>
          <w:szCs w:val="22"/>
          <w:u w:val="single"/>
        </w:rPr>
        <w:t>ppréciation</w:t>
      </w:r>
    </w:p>
    <w:p w14:paraId="7359FD81" w14:textId="77777777" w:rsidR="00A41FC4" w:rsidRPr="006E3CAB" w:rsidRDefault="00A41FC4"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5E5F3D77" w14:textId="4F79E975" w:rsidR="00A41FC4" w:rsidRPr="00D86757" w:rsidRDefault="00A41FC4" w:rsidP="0043243C">
      <w:pPr>
        <w:pStyle w:val="Liste"/>
        <w:numPr>
          <w:ilvl w:val="0"/>
          <w:numId w:val="29"/>
        </w:numPr>
        <w:spacing w:before="100" w:beforeAutospacing="1" w:after="100" w:afterAutospacing="1"/>
        <w:contextualSpacing/>
        <w:jc w:val="both"/>
        <w:rPr>
          <w:rFonts w:asciiTheme="minorHAnsi" w:hAnsiTheme="minorHAnsi" w:cstheme="minorHAnsi"/>
          <w:bCs/>
          <w:sz w:val="22"/>
          <w:szCs w:val="22"/>
          <w:u w:val="single"/>
        </w:rPr>
      </w:pPr>
      <w:r w:rsidRPr="00D86757">
        <w:rPr>
          <w:rFonts w:asciiTheme="minorHAnsi" w:hAnsiTheme="minorHAnsi" w:cstheme="minorHAnsi"/>
          <w:bCs/>
          <w:sz w:val="22"/>
          <w:szCs w:val="22"/>
          <w:u w:val="single"/>
        </w:rPr>
        <w:t>Quant au handicap</w:t>
      </w:r>
    </w:p>
    <w:p w14:paraId="06C5E4F6" w14:textId="77777777" w:rsidR="00A41FC4" w:rsidRPr="006E3CAB" w:rsidRDefault="00A41FC4" w:rsidP="00D368C9">
      <w:pPr>
        <w:pStyle w:val="Liste"/>
        <w:spacing w:before="100" w:beforeAutospacing="1" w:after="100" w:afterAutospacing="1"/>
        <w:ind w:left="0" w:firstLine="0"/>
        <w:contextualSpacing/>
        <w:jc w:val="both"/>
        <w:rPr>
          <w:rFonts w:asciiTheme="minorHAnsi" w:hAnsiTheme="minorHAnsi" w:cstheme="minorHAnsi"/>
          <w:i/>
          <w:sz w:val="22"/>
          <w:szCs w:val="22"/>
          <w:highlight w:val="cyan"/>
        </w:rPr>
      </w:pPr>
    </w:p>
    <w:p w14:paraId="70ED65F7" w14:textId="5F06A41D" w:rsidR="00A41FC4" w:rsidRPr="006E3CAB" w:rsidRDefault="00A41FC4"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M</w:t>
      </w:r>
      <w:r w:rsidR="00433875" w:rsidRPr="006E3CAB">
        <w:rPr>
          <w:rFonts w:asciiTheme="minorHAnsi" w:hAnsiTheme="minorHAnsi" w:cstheme="minorHAnsi"/>
          <w:sz w:val="22"/>
          <w:szCs w:val="22"/>
        </w:rPr>
        <w:t xml:space="preserve">onsieur </w:t>
      </w:r>
      <w:r w:rsidR="00AC7907">
        <w:rPr>
          <w:rFonts w:asciiTheme="minorHAnsi" w:hAnsiTheme="minorHAnsi" w:cstheme="minorHAnsi"/>
          <w:sz w:val="22"/>
          <w:szCs w:val="22"/>
        </w:rPr>
        <w:t>P</w:t>
      </w:r>
      <w:r w:rsidR="008E685D" w:rsidRPr="006E3CAB">
        <w:rPr>
          <w:rFonts w:asciiTheme="minorHAnsi" w:hAnsiTheme="minorHAnsi" w:cstheme="minorHAnsi"/>
          <w:sz w:val="22"/>
          <w:szCs w:val="22"/>
        </w:rPr>
        <w:t xml:space="preserve"> a subi un accident d</w:t>
      </w:r>
      <w:r w:rsidR="00272999" w:rsidRPr="006E3CAB">
        <w:rPr>
          <w:rFonts w:asciiTheme="minorHAnsi" w:hAnsiTheme="minorHAnsi" w:cstheme="minorHAnsi"/>
          <w:sz w:val="22"/>
          <w:szCs w:val="22"/>
        </w:rPr>
        <w:t>u travail le 29 décembre 2019 : il a fait une chute qui a donné lieu à une fracture de la vertèb</w:t>
      </w:r>
      <w:r w:rsidR="000443B7" w:rsidRPr="006E3CAB">
        <w:rPr>
          <w:rFonts w:asciiTheme="minorHAnsi" w:hAnsiTheme="minorHAnsi" w:cstheme="minorHAnsi"/>
          <w:sz w:val="22"/>
          <w:szCs w:val="22"/>
        </w:rPr>
        <w:t>r</w:t>
      </w:r>
      <w:r w:rsidR="00272999" w:rsidRPr="006E3CAB">
        <w:rPr>
          <w:rFonts w:asciiTheme="minorHAnsi" w:hAnsiTheme="minorHAnsi" w:cstheme="minorHAnsi"/>
          <w:sz w:val="22"/>
          <w:szCs w:val="22"/>
        </w:rPr>
        <w:t>e D12 avec des complications handicapantes, des côtes froissées</w:t>
      </w:r>
      <w:r w:rsidR="000443B7" w:rsidRPr="006E3CAB">
        <w:rPr>
          <w:rFonts w:asciiTheme="minorHAnsi" w:hAnsiTheme="minorHAnsi" w:cstheme="minorHAnsi"/>
          <w:sz w:val="22"/>
          <w:szCs w:val="22"/>
        </w:rPr>
        <w:t>, un gonflement au niveau du genou ainsi que des hématomes au niveau de la cheville.</w:t>
      </w:r>
      <w:r w:rsidRPr="006E3CAB">
        <w:rPr>
          <w:rFonts w:asciiTheme="minorHAnsi" w:hAnsiTheme="minorHAnsi" w:cstheme="minorHAnsi"/>
          <w:sz w:val="22"/>
          <w:szCs w:val="22"/>
        </w:rPr>
        <w:t xml:space="preserve"> </w:t>
      </w:r>
    </w:p>
    <w:p w14:paraId="61D9618E" w14:textId="77777777" w:rsidR="00CD5B58" w:rsidRPr="006E3CAB" w:rsidRDefault="00CD5B58"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41A4BCD6" w14:textId="1781D138" w:rsidR="00CD5B58" w:rsidRPr="006E3CAB" w:rsidRDefault="00CD5B58"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Cet accident du travail est reconnu et indemnisé par l’assureur-loi, ETHIAS.</w:t>
      </w:r>
    </w:p>
    <w:p w14:paraId="7845AD6C" w14:textId="77777777" w:rsidR="00626AF6" w:rsidRPr="006E3CAB" w:rsidRDefault="00626AF6"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3BDD6556" w14:textId="643BEE1D" w:rsidR="00626AF6" w:rsidRPr="006E3CAB" w:rsidRDefault="00626AF6"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Il n’est pas encore consolidé, et l’indemnisation dans le cadre de l’incapacité temporaire se poursuit.</w:t>
      </w:r>
    </w:p>
    <w:p w14:paraId="0BD39EA8" w14:textId="77777777" w:rsidR="00716BEF" w:rsidRPr="006E3CAB" w:rsidRDefault="00716BEF"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7BD35335" w14:textId="7F72F608" w:rsidR="00716BEF" w:rsidRPr="006E3CAB" w:rsidRDefault="00716BEF"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Il dépose en pièce 2 de son dossier divers</w:t>
      </w:r>
      <w:r w:rsidR="00C5376D" w:rsidRPr="006E3CAB">
        <w:rPr>
          <w:rFonts w:asciiTheme="minorHAnsi" w:hAnsiTheme="minorHAnsi" w:cstheme="minorHAnsi"/>
          <w:sz w:val="22"/>
          <w:szCs w:val="22"/>
        </w:rPr>
        <w:t xml:space="preserve"> certificats médicaux d’incapacité de travail.</w:t>
      </w:r>
    </w:p>
    <w:p w14:paraId="1D14A578" w14:textId="77777777" w:rsidR="0058572D" w:rsidRPr="006E3CAB" w:rsidRDefault="0058572D"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58370752" w14:textId="6B1F123F" w:rsidR="0058572D" w:rsidRPr="006E3CAB" w:rsidRDefault="0058572D"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Il s’est vu notifier une décision de reconnaissance d’</w:t>
      </w:r>
      <w:r w:rsidR="003076FE" w:rsidRPr="006E3CAB">
        <w:rPr>
          <w:rFonts w:asciiTheme="minorHAnsi" w:hAnsiTheme="minorHAnsi" w:cstheme="minorHAnsi"/>
          <w:sz w:val="22"/>
          <w:szCs w:val="22"/>
        </w:rPr>
        <w:t xml:space="preserve">état d’invalidité </w:t>
      </w:r>
      <w:r w:rsidR="004264EC" w:rsidRPr="006E3CAB">
        <w:rPr>
          <w:rFonts w:asciiTheme="minorHAnsi" w:hAnsiTheme="minorHAnsi" w:cstheme="minorHAnsi"/>
          <w:sz w:val="22"/>
          <w:szCs w:val="22"/>
        </w:rPr>
        <w:t xml:space="preserve">à partir du 21 novembre 2020 </w:t>
      </w:r>
      <w:r w:rsidR="003076FE" w:rsidRPr="006E3CAB">
        <w:rPr>
          <w:rFonts w:asciiTheme="minorHAnsi" w:hAnsiTheme="minorHAnsi" w:cstheme="minorHAnsi"/>
          <w:sz w:val="22"/>
          <w:szCs w:val="22"/>
        </w:rPr>
        <w:t>par le conseil médical de l’invali</w:t>
      </w:r>
      <w:r w:rsidR="004264EC" w:rsidRPr="006E3CAB">
        <w:rPr>
          <w:rFonts w:asciiTheme="minorHAnsi" w:hAnsiTheme="minorHAnsi" w:cstheme="minorHAnsi"/>
          <w:sz w:val="22"/>
          <w:szCs w:val="22"/>
        </w:rPr>
        <w:t>dité (INAMI)</w:t>
      </w:r>
      <w:r w:rsidRPr="006E3CAB">
        <w:rPr>
          <w:rFonts w:asciiTheme="minorHAnsi" w:hAnsiTheme="minorHAnsi" w:cstheme="minorHAnsi"/>
          <w:sz w:val="22"/>
          <w:szCs w:val="22"/>
        </w:rPr>
        <w:t xml:space="preserve">, en date du </w:t>
      </w:r>
      <w:r w:rsidR="004264EC" w:rsidRPr="006E3CAB">
        <w:rPr>
          <w:rFonts w:asciiTheme="minorHAnsi" w:hAnsiTheme="minorHAnsi" w:cstheme="minorHAnsi"/>
          <w:sz w:val="22"/>
          <w:szCs w:val="22"/>
        </w:rPr>
        <w:t>21 novembre 2020</w:t>
      </w:r>
      <w:r w:rsidRPr="006E3CAB">
        <w:rPr>
          <w:rFonts w:asciiTheme="minorHAnsi" w:hAnsiTheme="minorHAnsi" w:cstheme="minorHAnsi"/>
          <w:sz w:val="22"/>
          <w:szCs w:val="22"/>
        </w:rPr>
        <w:t>.</w:t>
      </w:r>
    </w:p>
    <w:p w14:paraId="096962F5" w14:textId="77777777" w:rsidR="004A57C7" w:rsidRPr="006E3CAB" w:rsidRDefault="004A57C7"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23C0D382" w14:textId="5FCB40C6" w:rsidR="004A57C7" w:rsidRPr="006E3CAB" w:rsidRDefault="004A57C7"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Il s’est</w:t>
      </w:r>
      <w:r w:rsidR="00533306" w:rsidRPr="006E3CAB">
        <w:rPr>
          <w:rFonts w:asciiTheme="minorHAnsi" w:hAnsiTheme="minorHAnsi" w:cstheme="minorHAnsi"/>
          <w:sz w:val="22"/>
          <w:szCs w:val="22"/>
        </w:rPr>
        <w:t xml:space="preserve"> vu notifier une décision de reconnaissance de handicap par le SPF Sécurité sociale</w:t>
      </w:r>
      <w:r w:rsidR="00E93127" w:rsidRPr="006E3CAB">
        <w:rPr>
          <w:rFonts w:asciiTheme="minorHAnsi" w:hAnsiTheme="minorHAnsi" w:cstheme="minorHAnsi"/>
          <w:sz w:val="22"/>
          <w:szCs w:val="22"/>
        </w:rPr>
        <w:t>, Direction générale des Personnes handicapées, en date du 23 mars 2021.</w:t>
      </w:r>
    </w:p>
    <w:p w14:paraId="2FD965A3" w14:textId="77777777" w:rsidR="008B62F0" w:rsidRPr="006E3CAB" w:rsidRDefault="008B62F0"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6A9077D6" w14:textId="609A99CF" w:rsidR="008B62F0" w:rsidRPr="006E3CAB" w:rsidRDefault="00D57D6D"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 xml:space="preserve">Fin 2020, </w:t>
      </w:r>
      <w:r w:rsidR="00D75F85" w:rsidRPr="006E3CAB">
        <w:rPr>
          <w:rFonts w:asciiTheme="minorHAnsi" w:hAnsiTheme="minorHAnsi" w:cstheme="minorHAnsi"/>
          <w:sz w:val="22"/>
          <w:szCs w:val="22"/>
        </w:rPr>
        <w:t>i</w:t>
      </w:r>
      <w:r w:rsidR="008B62F0" w:rsidRPr="006E3CAB">
        <w:rPr>
          <w:rFonts w:asciiTheme="minorHAnsi" w:hAnsiTheme="minorHAnsi" w:cstheme="minorHAnsi"/>
          <w:sz w:val="22"/>
          <w:szCs w:val="22"/>
        </w:rPr>
        <w:t xml:space="preserve">l a été recommandé à Monsieur </w:t>
      </w:r>
      <w:r w:rsidR="00AC7907">
        <w:rPr>
          <w:rFonts w:asciiTheme="minorHAnsi" w:hAnsiTheme="minorHAnsi" w:cstheme="minorHAnsi"/>
          <w:sz w:val="22"/>
          <w:szCs w:val="22"/>
        </w:rPr>
        <w:t>P</w:t>
      </w:r>
      <w:r w:rsidR="008B62F0" w:rsidRPr="006E3CAB">
        <w:rPr>
          <w:rFonts w:asciiTheme="minorHAnsi" w:hAnsiTheme="minorHAnsi" w:cstheme="minorHAnsi"/>
          <w:sz w:val="22"/>
          <w:szCs w:val="22"/>
        </w:rPr>
        <w:t>, par le conseiller en prévention</w:t>
      </w:r>
      <w:r w:rsidR="00A750F3" w:rsidRPr="006E3CAB">
        <w:rPr>
          <w:rFonts w:asciiTheme="minorHAnsi" w:hAnsiTheme="minorHAnsi" w:cstheme="minorHAnsi"/>
          <w:sz w:val="22"/>
          <w:szCs w:val="22"/>
        </w:rPr>
        <w:t>-médecin du travail, et par le médecin conseil de la mutualité SOLIDARIS, de ne reprendre le travail qu’à mi-temps</w:t>
      </w:r>
      <w:r w:rsidRPr="006E3CAB">
        <w:rPr>
          <w:rFonts w:asciiTheme="minorHAnsi" w:hAnsiTheme="minorHAnsi" w:cstheme="minorHAnsi"/>
          <w:sz w:val="22"/>
          <w:szCs w:val="22"/>
        </w:rPr>
        <w:t>, au minimum jusqu’au 31</w:t>
      </w:r>
      <w:r w:rsidR="00B52ED5">
        <w:rPr>
          <w:rFonts w:asciiTheme="minorHAnsi" w:hAnsiTheme="minorHAnsi" w:cstheme="minorHAnsi"/>
          <w:sz w:val="22"/>
          <w:szCs w:val="22"/>
        </w:rPr>
        <w:t xml:space="preserve"> août </w:t>
      </w:r>
      <w:r w:rsidRPr="006E3CAB">
        <w:rPr>
          <w:rFonts w:asciiTheme="minorHAnsi" w:hAnsiTheme="minorHAnsi" w:cstheme="minorHAnsi"/>
          <w:sz w:val="22"/>
          <w:szCs w:val="22"/>
        </w:rPr>
        <w:t>2021, ou de changer de poste de travail.</w:t>
      </w:r>
    </w:p>
    <w:p w14:paraId="6486E9A7" w14:textId="77777777" w:rsidR="00D75F85" w:rsidRPr="006E3CAB" w:rsidRDefault="00D75F85"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7902DC24" w14:textId="214CCB59" w:rsidR="00D75F85" w:rsidRPr="006E3CAB" w:rsidRDefault="00D75F85"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 xml:space="preserve">Monsieur </w:t>
      </w:r>
      <w:r w:rsidR="00AC7907">
        <w:rPr>
          <w:rFonts w:asciiTheme="minorHAnsi" w:hAnsiTheme="minorHAnsi" w:cstheme="minorHAnsi"/>
          <w:sz w:val="22"/>
          <w:szCs w:val="22"/>
        </w:rPr>
        <w:t>P</w:t>
      </w:r>
      <w:r w:rsidRPr="006E3CAB">
        <w:rPr>
          <w:rFonts w:asciiTheme="minorHAnsi" w:hAnsiTheme="minorHAnsi" w:cstheme="minorHAnsi"/>
          <w:sz w:val="22"/>
          <w:szCs w:val="22"/>
        </w:rPr>
        <w:t xml:space="preserve"> a repris sa fonction de chauffeur le 21</w:t>
      </w:r>
      <w:r w:rsidR="00B52ED5">
        <w:rPr>
          <w:rFonts w:asciiTheme="minorHAnsi" w:hAnsiTheme="minorHAnsi" w:cstheme="minorHAnsi"/>
          <w:sz w:val="22"/>
          <w:szCs w:val="22"/>
        </w:rPr>
        <w:t xml:space="preserve"> décembre </w:t>
      </w:r>
      <w:r w:rsidRPr="006E3CAB">
        <w:rPr>
          <w:rFonts w:asciiTheme="minorHAnsi" w:hAnsiTheme="minorHAnsi" w:cstheme="minorHAnsi"/>
          <w:sz w:val="22"/>
          <w:szCs w:val="22"/>
        </w:rPr>
        <w:t>2020, dans le cadre d’un mi-temps médical durant 3 mois.</w:t>
      </w:r>
    </w:p>
    <w:p w14:paraId="26EE52C2" w14:textId="77777777" w:rsidR="00D75F85" w:rsidRPr="006E3CAB" w:rsidRDefault="00D75F85"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6110151C" w14:textId="4F6E8BE1" w:rsidR="00D75F85" w:rsidRPr="006E3CAB" w:rsidRDefault="00901157"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Ce mi-temps a été prolongé une fois, jusqu’au 30</w:t>
      </w:r>
      <w:r w:rsidR="00566ABC">
        <w:rPr>
          <w:rFonts w:asciiTheme="minorHAnsi" w:hAnsiTheme="minorHAnsi" w:cstheme="minorHAnsi"/>
          <w:sz w:val="22"/>
          <w:szCs w:val="22"/>
        </w:rPr>
        <w:t xml:space="preserve"> juin </w:t>
      </w:r>
      <w:r w:rsidRPr="006E3CAB">
        <w:rPr>
          <w:rFonts w:asciiTheme="minorHAnsi" w:hAnsiTheme="minorHAnsi" w:cstheme="minorHAnsi"/>
          <w:sz w:val="22"/>
          <w:szCs w:val="22"/>
        </w:rPr>
        <w:t>2021.</w:t>
      </w:r>
    </w:p>
    <w:p w14:paraId="5A0B2FC5" w14:textId="77777777" w:rsidR="00901157" w:rsidRPr="006E3CAB" w:rsidRDefault="00901157"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4B129A90" w14:textId="01A16482" w:rsidR="00901157" w:rsidRPr="006E3CAB" w:rsidRDefault="00901157"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Depuis lors, en s’</w:t>
      </w:r>
      <w:r w:rsidR="001B71CD" w:rsidRPr="006E3CAB">
        <w:rPr>
          <w:rFonts w:asciiTheme="minorHAnsi" w:hAnsiTheme="minorHAnsi" w:cstheme="minorHAnsi"/>
          <w:sz w:val="22"/>
          <w:szCs w:val="22"/>
        </w:rPr>
        <w:t>a</w:t>
      </w:r>
      <w:r w:rsidRPr="006E3CAB">
        <w:rPr>
          <w:rFonts w:asciiTheme="minorHAnsi" w:hAnsiTheme="minorHAnsi" w:cstheme="minorHAnsi"/>
          <w:sz w:val="22"/>
          <w:szCs w:val="22"/>
        </w:rPr>
        <w:t>ppuyant sur une CCT interne</w:t>
      </w:r>
      <w:r w:rsidR="001B71CD" w:rsidRPr="006E3CAB">
        <w:rPr>
          <w:rFonts w:asciiTheme="minorHAnsi" w:hAnsiTheme="minorHAnsi" w:cstheme="minorHAnsi"/>
          <w:sz w:val="22"/>
          <w:szCs w:val="22"/>
        </w:rPr>
        <w:t xml:space="preserve"> du 30 juin 2008</w:t>
      </w:r>
      <w:r w:rsidRPr="006E3CAB">
        <w:rPr>
          <w:rFonts w:asciiTheme="minorHAnsi" w:hAnsiTheme="minorHAnsi" w:cstheme="minorHAnsi"/>
          <w:sz w:val="22"/>
          <w:szCs w:val="22"/>
        </w:rPr>
        <w:t xml:space="preserve">, l’OTW a refusé toute prolongation </w:t>
      </w:r>
      <w:r w:rsidR="001B71CD" w:rsidRPr="006E3CAB">
        <w:rPr>
          <w:rFonts w:asciiTheme="minorHAnsi" w:hAnsiTheme="minorHAnsi" w:cstheme="minorHAnsi"/>
          <w:sz w:val="22"/>
          <w:szCs w:val="22"/>
        </w:rPr>
        <w:t>ou reprise d’un mi-temps médical.</w:t>
      </w:r>
    </w:p>
    <w:p w14:paraId="45F6138C" w14:textId="77777777" w:rsidR="001B71CD" w:rsidRPr="006E3CAB" w:rsidRDefault="001B71CD"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6E699377" w14:textId="422AB0CF" w:rsidR="00A41FC4" w:rsidRPr="006E3CAB" w:rsidRDefault="00A41FC4" w:rsidP="00D368C9">
      <w:pPr>
        <w:pStyle w:val="Liste"/>
        <w:spacing w:before="100" w:beforeAutospacing="1" w:after="100" w:afterAutospacing="1"/>
        <w:ind w:left="0" w:firstLine="0"/>
        <w:contextualSpacing/>
        <w:jc w:val="both"/>
        <w:rPr>
          <w:rFonts w:asciiTheme="minorHAnsi" w:hAnsiTheme="minorHAnsi" w:cstheme="minorHAnsi"/>
          <w:i/>
          <w:sz w:val="22"/>
          <w:szCs w:val="22"/>
        </w:rPr>
      </w:pPr>
      <w:r w:rsidRPr="006E3CAB">
        <w:rPr>
          <w:rFonts w:asciiTheme="minorHAnsi" w:hAnsiTheme="minorHAnsi" w:cstheme="minorHAnsi"/>
          <w:sz w:val="22"/>
          <w:szCs w:val="22"/>
        </w:rPr>
        <w:t xml:space="preserve">Comme l’écrivent V. GHESQUIERE, I. HACHEZ et C. VAN BASSELAERE </w:t>
      </w:r>
      <w:r w:rsidRPr="006E3CAB">
        <w:rPr>
          <w:rStyle w:val="Appelnotedebasdep"/>
          <w:rFonts w:asciiTheme="minorHAnsi" w:hAnsiTheme="minorHAnsi" w:cstheme="minorHAnsi"/>
          <w:sz w:val="22"/>
          <w:szCs w:val="22"/>
        </w:rPr>
        <w:footnoteReference w:id="7"/>
      </w:r>
      <w:r w:rsidRPr="006E3CAB">
        <w:rPr>
          <w:rFonts w:asciiTheme="minorHAnsi" w:hAnsiTheme="minorHAnsi" w:cstheme="minorHAnsi"/>
          <w:sz w:val="22"/>
          <w:szCs w:val="22"/>
        </w:rPr>
        <w:t xml:space="preserve">, selon la jurisprudence de  la Cour de justice de l’Union Européenne, la notion de handicap, non définie par la directive 2000/78, bénéficie d’une portée autonome, et </w:t>
      </w:r>
      <w:r w:rsidRPr="006E3CAB">
        <w:rPr>
          <w:rFonts w:asciiTheme="minorHAnsi" w:hAnsiTheme="minorHAnsi" w:cstheme="minorHAnsi"/>
          <w:i/>
          <w:sz w:val="22"/>
          <w:szCs w:val="22"/>
        </w:rPr>
        <w:t>« doit être entendue comme visant une limitation de la capacité, résultant notamment d’atteintes physiques, mentales ou psychiques durables, dont l’interaction avec diverses barrières peut faire obstacle à la pleine et effective participation de la personne concernée à la vie professionnelle sur la base de l’égalité avec les autres travailleurs »</w:t>
      </w:r>
      <w:r w:rsidRPr="006E3CAB">
        <w:rPr>
          <w:rStyle w:val="Appelnotedebasdep"/>
          <w:rFonts w:asciiTheme="minorHAnsi" w:hAnsiTheme="minorHAnsi" w:cstheme="minorHAnsi"/>
          <w:i/>
          <w:sz w:val="22"/>
          <w:szCs w:val="22"/>
        </w:rPr>
        <w:footnoteReference w:id="8"/>
      </w:r>
      <w:r w:rsidRPr="006E3CAB">
        <w:rPr>
          <w:rFonts w:asciiTheme="minorHAnsi" w:hAnsiTheme="minorHAnsi" w:cstheme="minorHAnsi"/>
          <w:i/>
          <w:sz w:val="22"/>
          <w:szCs w:val="22"/>
        </w:rPr>
        <w:t xml:space="preserve">. </w:t>
      </w:r>
    </w:p>
    <w:p w14:paraId="634B2CD9" w14:textId="77777777" w:rsidR="00A41FC4" w:rsidRPr="006E3CAB" w:rsidRDefault="00A41FC4" w:rsidP="00D368C9">
      <w:pPr>
        <w:pStyle w:val="Liste"/>
        <w:spacing w:before="100" w:beforeAutospacing="1" w:after="100" w:afterAutospacing="1"/>
        <w:ind w:left="0" w:firstLine="0"/>
        <w:contextualSpacing/>
        <w:jc w:val="both"/>
        <w:rPr>
          <w:rFonts w:asciiTheme="minorHAnsi" w:hAnsiTheme="minorHAnsi" w:cstheme="minorHAnsi"/>
          <w:i/>
          <w:sz w:val="22"/>
          <w:szCs w:val="22"/>
        </w:rPr>
      </w:pPr>
    </w:p>
    <w:p w14:paraId="56045AF8" w14:textId="77777777" w:rsidR="00A41FC4" w:rsidRPr="006E3CAB" w:rsidRDefault="00A41FC4"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Une approche sociale s’ajoute donc à une approche médicale du handicap.</w:t>
      </w:r>
    </w:p>
    <w:p w14:paraId="2E99A29C" w14:textId="77777777" w:rsidR="008B5F23" w:rsidRPr="006E3CAB" w:rsidRDefault="008B5F23"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03748415" w14:textId="21406F69" w:rsidR="00804D75" w:rsidRPr="006E3CAB" w:rsidRDefault="008B5F23"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 xml:space="preserve">Le caractère de durabilité des lésions dont souffre Monsieur </w:t>
      </w:r>
      <w:r w:rsidR="00AC7907">
        <w:rPr>
          <w:rFonts w:asciiTheme="minorHAnsi" w:hAnsiTheme="minorHAnsi" w:cstheme="minorHAnsi"/>
          <w:sz w:val="22"/>
          <w:szCs w:val="22"/>
        </w:rPr>
        <w:t>P</w:t>
      </w:r>
      <w:r w:rsidRPr="006E3CAB">
        <w:rPr>
          <w:rFonts w:asciiTheme="minorHAnsi" w:hAnsiTheme="minorHAnsi" w:cstheme="minorHAnsi"/>
          <w:sz w:val="22"/>
          <w:szCs w:val="22"/>
        </w:rPr>
        <w:t xml:space="preserve"> ne fait aucun doute : son accident du travail date de décembre 2019, soit </w:t>
      </w:r>
      <w:r w:rsidR="00A102AC" w:rsidRPr="006E3CAB">
        <w:rPr>
          <w:rFonts w:asciiTheme="minorHAnsi" w:hAnsiTheme="minorHAnsi" w:cstheme="minorHAnsi"/>
          <w:sz w:val="22"/>
          <w:szCs w:val="22"/>
        </w:rPr>
        <w:t>il y a plus de 3 ans et demi, et ses lésions ne sont pas encore consolidé</w:t>
      </w:r>
      <w:r w:rsidR="00AC4352" w:rsidRPr="006E3CAB">
        <w:rPr>
          <w:rFonts w:asciiTheme="minorHAnsi" w:hAnsiTheme="minorHAnsi" w:cstheme="minorHAnsi"/>
          <w:sz w:val="22"/>
          <w:szCs w:val="22"/>
        </w:rPr>
        <w:t>es.</w:t>
      </w:r>
    </w:p>
    <w:p w14:paraId="1C72E8D0" w14:textId="77777777" w:rsidR="005F324F" w:rsidRPr="003003C8" w:rsidRDefault="005F324F"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29318DE9" w14:textId="2EBBDA0F" w:rsidR="00C910C6" w:rsidRPr="003003C8" w:rsidRDefault="00C910C6"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3003C8">
        <w:rPr>
          <w:rFonts w:asciiTheme="minorHAnsi" w:hAnsiTheme="minorHAnsi" w:cstheme="minorHAnsi"/>
          <w:sz w:val="22"/>
          <w:szCs w:val="22"/>
        </w:rPr>
        <w:t xml:space="preserve">Monsieur </w:t>
      </w:r>
      <w:r w:rsidR="00AC7907">
        <w:rPr>
          <w:rFonts w:asciiTheme="minorHAnsi" w:hAnsiTheme="minorHAnsi" w:cstheme="minorHAnsi"/>
          <w:sz w:val="22"/>
          <w:szCs w:val="22"/>
        </w:rPr>
        <w:t>P</w:t>
      </w:r>
      <w:r w:rsidRPr="003003C8">
        <w:rPr>
          <w:rFonts w:asciiTheme="minorHAnsi" w:hAnsiTheme="minorHAnsi" w:cstheme="minorHAnsi"/>
          <w:sz w:val="22"/>
          <w:szCs w:val="22"/>
        </w:rPr>
        <w:t xml:space="preserve"> est victime d’une entrave durable à une pleine et effective participation à la vie professionne</w:t>
      </w:r>
      <w:r w:rsidR="008A1AC0" w:rsidRPr="003003C8">
        <w:rPr>
          <w:rFonts w:asciiTheme="minorHAnsi" w:hAnsiTheme="minorHAnsi" w:cstheme="minorHAnsi"/>
          <w:sz w:val="22"/>
          <w:szCs w:val="22"/>
        </w:rPr>
        <w:t>lle.</w:t>
      </w:r>
      <w:r w:rsidR="00227DB7">
        <w:rPr>
          <w:rFonts w:asciiTheme="minorHAnsi" w:hAnsiTheme="minorHAnsi" w:cstheme="minorHAnsi"/>
          <w:sz w:val="22"/>
          <w:szCs w:val="22"/>
        </w:rPr>
        <w:t xml:space="preserve"> </w:t>
      </w:r>
      <w:r w:rsidR="001C1199">
        <w:rPr>
          <w:rFonts w:asciiTheme="minorHAnsi" w:hAnsiTheme="minorHAnsi" w:cstheme="minorHAnsi"/>
          <w:sz w:val="22"/>
          <w:szCs w:val="22"/>
        </w:rPr>
        <w:t>Partant, il est donc bien porteur de handicap.</w:t>
      </w:r>
    </w:p>
    <w:p w14:paraId="5904A4BD" w14:textId="77777777" w:rsidR="008A1AC0" w:rsidRPr="003003C8" w:rsidRDefault="008A1AC0"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3203B0CC" w14:textId="6BB6ECAE" w:rsidR="00AC4352" w:rsidRPr="003003C8" w:rsidRDefault="00AC4352"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3003C8">
        <w:rPr>
          <w:rFonts w:asciiTheme="minorHAnsi" w:hAnsiTheme="minorHAnsi" w:cstheme="minorHAnsi"/>
          <w:sz w:val="22"/>
          <w:szCs w:val="22"/>
        </w:rPr>
        <w:t>Tant sous l’approche médicale que sous l’approche sociale, ses lésions peuve</w:t>
      </w:r>
      <w:r w:rsidR="00F169EA" w:rsidRPr="003003C8">
        <w:rPr>
          <w:rFonts w:asciiTheme="minorHAnsi" w:hAnsiTheme="minorHAnsi" w:cstheme="minorHAnsi"/>
          <w:sz w:val="22"/>
          <w:szCs w:val="22"/>
        </w:rPr>
        <w:t xml:space="preserve">nt être qualifiées de handicap au sens </w:t>
      </w:r>
      <w:r w:rsidR="004B4665" w:rsidRPr="003003C8">
        <w:rPr>
          <w:rFonts w:asciiTheme="minorHAnsi" w:hAnsiTheme="minorHAnsi" w:cstheme="minorHAnsi"/>
          <w:sz w:val="22"/>
          <w:szCs w:val="22"/>
        </w:rPr>
        <w:t>de la directive 2000/78</w:t>
      </w:r>
      <w:r w:rsidR="00F169EA" w:rsidRPr="003003C8">
        <w:rPr>
          <w:rFonts w:asciiTheme="minorHAnsi" w:hAnsiTheme="minorHAnsi" w:cstheme="minorHAnsi"/>
          <w:sz w:val="22"/>
          <w:szCs w:val="22"/>
        </w:rPr>
        <w:t xml:space="preserve">,  et ne peuvent être limitées au </w:t>
      </w:r>
      <w:r w:rsidR="004B4665" w:rsidRPr="003003C8">
        <w:rPr>
          <w:rFonts w:asciiTheme="minorHAnsi" w:hAnsiTheme="minorHAnsi" w:cstheme="minorHAnsi"/>
          <w:sz w:val="22"/>
          <w:szCs w:val="22"/>
        </w:rPr>
        <w:t xml:space="preserve">seul </w:t>
      </w:r>
      <w:r w:rsidR="00F169EA" w:rsidRPr="003003C8">
        <w:rPr>
          <w:rFonts w:asciiTheme="minorHAnsi" w:hAnsiTheme="minorHAnsi" w:cstheme="minorHAnsi"/>
          <w:sz w:val="22"/>
          <w:szCs w:val="22"/>
        </w:rPr>
        <w:t>concept d’état de santé actuel et futur.</w:t>
      </w:r>
    </w:p>
    <w:p w14:paraId="46C5AAB3" w14:textId="77777777" w:rsidR="00633566" w:rsidRPr="003003C8" w:rsidRDefault="00633566"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0022C9A5" w14:textId="77777777" w:rsidR="00A41FC4" w:rsidRPr="003003C8" w:rsidRDefault="00A41FC4" w:rsidP="00D368C9">
      <w:pPr>
        <w:pStyle w:val="Liste"/>
        <w:spacing w:before="100" w:beforeAutospacing="1" w:after="100" w:afterAutospacing="1"/>
        <w:ind w:left="0" w:firstLine="0"/>
        <w:contextualSpacing/>
        <w:jc w:val="both"/>
        <w:rPr>
          <w:rFonts w:asciiTheme="minorHAnsi" w:hAnsiTheme="minorHAnsi" w:cstheme="minorHAnsi"/>
          <w:sz w:val="22"/>
          <w:szCs w:val="22"/>
          <w:lang w:eastAsia="en-GB"/>
        </w:rPr>
      </w:pPr>
    </w:p>
    <w:p w14:paraId="0769859C" w14:textId="52FECF60" w:rsidR="00A41FC4" w:rsidRPr="003003C8" w:rsidRDefault="00A41FC4" w:rsidP="0043243C">
      <w:pPr>
        <w:pStyle w:val="Liste"/>
        <w:numPr>
          <w:ilvl w:val="0"/>
          <w:numId w:val="29"/>
        </w:numPr>
        <w:spacing w:before="100" w:beforeAutospacing="1" w:after="100" w:afterAutospacing="1"/>
        <w:contextualSpacing/>
        <w:jc w:val="both"/>
        <w:rPr>
          <w:rFonts w:asciiTheme="minorHAnsi" w:hAnsiTheme="minorHAnsi" w:cstheme="minorHAnsi"/>
          <w:bCs/>
          <w:sz w:val="22"/>
          <w:szCs w:val="22"/>
          <w:u w:val="single"/>
        </w:rPr>
      </w:pPr>
      <w:r w:rsidRPr="003003C8">
        <w:rPr>
          <w:rFonts w:asciiTheme="minorHAnsi" w:hAnsiTheme="minorHAnsi" w:cstheme="minorHAnsi"/>
          <w:bCs/>
          <w:sz w:val="22"/>
          <w:szCs w:val="22"/>
          <w:u w:val="single"/>
        </w:rPr>
        <w:t>Discrimination directe</w:t>
      </w:r>
      <w:r w:rsidR="0017521F" w:rsidRPr="003003C8">
        <w:rPr>
          <w:rFonts w:asciiTheme="minorHAnsi" w:hAnsiTheme="minorHAnsi" w:cstheme="minorHAnsi"/>
          <w:bCs/>
          <w:sz w:val="22"/>
          <w:szCs w:val="22"/>
          <w:u w:val="single"/>
        </w:rPr>
        <w:t xml:space="preserve"> et discrimination indirecte</w:t>
      </w:r>
      <w:r w:rsidRPr="003003C8">
        <w:rPr>
          <w:rFonts w:asciiTheme="minorHAnsi" w:hAnsiTheme="minorHAnsi" w:cstheme="minorHAnsi"/>
          <w:bCs/>
          <w:sz w:val="22"/>
          <w:szCs w:val="22"/>
        </w:rPr>
        <w:t> </w:t>
      </w:r>
    </w:p>
    <w:p w14:paraId="0FEDCD0D" w14:textId="3466CB4E" w:rsidR="00A41FC4" w:rsidRPr="003003C8" w:rsidRDefault="008A1AC0" w:rsidP="00D368C9">
      <w:pPr>
        <w:shd w:val="clear" w:color="auto" w:fill="FFFFFF"/>
        <w:spacing w:before="100" w:beforeAutospacing="1" w:after="100" w:afterAutospacing="1" w:line="240" w:lineRule="auto"/>
        <w:contextualSpacing/>
        <w:jc w:val="both"/>
        <w:rPr>
          <w:rFonts w:eastAsia="Times New Roman" w:cstheme="minorHAnsi"/>
          <w:lang w:val="fr-BE" w:eastAsia="en-GB"/>
        </w:rPr>
      </w:pPr>
      <w:r w:rsidRPr="003003C8">
        <w:rPr>
          <w:rFonts w:eastAsia="Times New Roman" w:cstheme="minorHAnsi"/>
          <w:lang w:val="fr-BE" w:eastAsia="en-GB"/>
        </w:rPr>
        <w:t>En s’appuyant sur une convention collective de travail</w:t>
      </w:r>
      <w:r w:rsidR="003A633E" w:rsidRPr="003003C8">
        <w:rPr>
          <w:rFonts w:eastAsia="Times New Roman" w:cstheme="minorHAnsi"/>
          <w:lang w:val="fr-BE" w:eastAsia="en-GB"/>
        </w:rPr>
        <w:t xml:space="preserve"> </w:t>
      </w:r>
      <w:r w:rsidR="0020527B" w:rsidRPr="003003C8">
        <w:rPr>
          <w:rFonts w:eastAsia="Times New Roman" w:cstheme="minorHAnsi"/>
          <w:lang w:val="fr-BE" w:eastAsia="en-GB"/>
        </w:rPr>
        <w:t xml:space="preserve">du 30 juin 2008 </w:t>
      </w:r>
      <w:r w:rsidR="003A633E" w:rsidRPr="003003C8">
        <w:rPr>
          <w:rFonts w:eastAsia="Times New Roman" w:cstheme="minorHAnsi"/>
          <w:lang w:val="fr-BE" w:eastAsia="en-GB"/>
        </w:rPr>
        <w:t xml:space="preserve">relative au mi-temps médical au sein de l’entreprise, l’OTW a refusé et refuse encore à Monsieur </w:t>
      </w:r>
      <w:r w:rsidR="00AC7907">
        <w:rPr>
          <w:rFonts w:eastAsia="Times New Roman" w:cstheme="minorHAnsi"/>
          <w:lang w:val="fr-BE" w:eastAsia="en-GB"/>
        </w:rPr>
        <w:t>P</w:t>
      </w:r>
      <w:r w:rsidR="003A633E" w:rsidRPr="003003C8">
        <w:rPr>
          <w:rFonts w:eastAsia="Times New Roman" w:cstheme="minorHAnsi"/>
          <w:lang w:val="fr-BE" w:eastAsia="en-GB"/>
        </w:rPr>
        <w:t xml:space="preserve"> de prester dans le cadre d</w:t>
      </w:r>
      <w:r w:rsidR="0020527B" w:rsidRPr="003003C8">
        <w:rPr>
          <w:rFonts w:eastAsia="Times New Roman" w:cstheme="minorHAnsi"/>
          <w:lang w:val="fr-BE" w:eastAsia="en-GB"/>
        </w:rPr>
        <w:t xml:space="preserve">’un mi-temps médical, depuis </w:t>
      </w:r>
      <w:r w:rsidR="0031453A" w:rsidRPr="003003C8">
        <w:rPr>
          <w:rFonts w:eastAsia="Times New Roman" w:cstheme="minorHAnsi"/>
          <w:lang w:val="fr-BE" w:eastAsia="en-GB"/>
        </w:rPr>
        <w:t>fin juin</w:t>
      </w:r>
      <w:r w:rsidR="00CD7B7A" w:rsidRPr="003003C8">
        <w:rPr>
          <w:rFonts w:eastAsia="Times New Roman" w:cstheme="minorHAnsi"/>
          <w:lang w:val="fr-BE" w:eastAsia="en-GB"/>
        </w:rPr>
        <w:t xml:space="preserve"> 2021.</w:t>
      </w:r>
    </w:p>
    <w:p w14:paraId="5D1BDE70" w14:textId="11314C5A" w:rsidR="0031453A" w:rsidRPr="003003C8" w:rsidRDefault="0031453A" w:rsidP="00D368C9">
      <w:pPr>
        <w:shd w:val="clear" w:color="auto" w:fill="FFFFFF"/>
        <w:spacing w:before="100" w:beforeAutospacing="1" w:after="100" w:afterAutospacing="1" w:line="240" w:lineRule="auto"/>
        <w:contextualSpacing/>
        <w:jc w:val="both"/>
        <w:rPr>
          <w:rFonts w:eastAsia="Times New Roman" w:cstheme="minorHAnsi"/>
          <w:lang w:val="fr-BE" w:eastAsia="en-GB"/>
        </w:rPr>
      </w:pPr>
    </w:p>
    <w:p w14:paraId="2B4ACE1F" w14:textId="15A94E0A" w:rsidR="0031453A" w:rsidRPr="006E3CAB" w:rsidRDefault="0031453A" w:rsidP="00D368C9">
      <w:pPr>
        <w:shd w:val="clear" w:color="auto" w:fill="FFFFFF"/>
        <w:spacing w:before="100" w:beforeAutospacing="1" w:after="100" w:afterAutospacing="1" w:line="240" w:lineRule="auto"/>
        <w:contextualSpacing/>
        <w:jc w:val="both"/>
        <w:rPr>
          <w:rFonts w:eastAsia="Times New Roman" w:cstheme="minorHAnsi"/>
          <w:lang w:val="fr-BE" w:eastAsia="en-GB"/>
        </w:rPr>
      </w:pPr>
      <w:r w:rsidRPr="003003C8">
        <w:rPr>
          <w:rFonts w:eastAsia="Times New Roman" w:cstheme="minorHAnsi"/>
          <w:lang w:val="fr-BE" w:eastAsia="en-GB"/>
        </w:rPr>
        <w:t>En effet, suite à la</w:t>
      </w:r>
      <w:r w:rsidRPr="006E3CAB">
        <w:rPr>
          <w:rFonts w:eastAsia="Times New Roman" w:cstheme="minorHAnsi"/>
          <w:lang w:val="fr-BE" w:eastAsia="en-GB"/>
        </w:rPr>
        <w:t xml:space="preserve"> demande de prolongation de mi-temps médical qu’avait sollicité Monsieur </w:t>
      </w:r>
      <w:r w:rsidR="00AC7907">
        <w:rPr>
          <w:rFonts w:eastAsia="Times New Roman" w:cstheme="minorHAnsi"/>
          <w:lang w:val="fr-BE" w:eastAsia="en-GB"/>
        </w:rPr>
        <w:t>P</w:t>
      </w:r>
      <w:r w:rsidRPr="006E3CAB">
        <w:rPr>
          <w:rFonts w:eastAsia="Times New Roman" w:cstheme="minorHAnsi"/>
          <w:lang w:val="fr-BE" w:eastAsia="en-GB"/>
        </w:rPr>
        <w:t>, son employeur lui opposera un refus motivé le 9 juin 2021, selon les termes suivants :</w:t>
      </w:r>
    </w:p>
    <w:p w14:paraId="4B3BD2CC" w14:textId="16E7610F" w:rsidR="0031453A" w:rsidRPr="006E3CAB" w:rsidRDefault="0031453A" w:rsidP="00D368C9">
      <w:pPr>
        <w:shd w:val="clear" w:color="auto" w:fill="FFFFFF"/>
        <w:spacing w:before="100" w:beforeAutospacing="1" w:after="100" w:afterAutospacing="1" w:line="240" w:lineRule="auto"/>
        <w:contextualSpacing/>
        <w:jc w:val="both"/>
        <w:rPr>
          <w:rFonts w:eastAsia="Times New Roman" w:cstheme="minorHAnsi"/>
          <w:i/>
          <w:iCs/>
          <w:lang w:val="fr-BE" w:eastAsia="en-GB"/>
        </w:rPr>
      </w:pPr>
      <w:r w:rsidRPr="006E3CAB">
        <w:rPr>
          <w:rFonts w:eastAsia="Times New Roman" w:cstheme="minorHAnsi"/>
          <w:i/>
          <w:iCs/>
          <w:lang w:val="fr-BE" w:eastAsia="en-GB"/>
        </w:rPr>
        <w:t>« …votre demande de prolongation de mi-temps médical est refusée.</w:t>
      </w:r>
    </w:p>
    <w:p w14:paraId="0AB7A34B" w14:textId="142137F7" w:rsidR="0031453A" w:rsidRPr="006E3CAB" w:rsidRDefault="0031453A" w:rsidP="00D368C9">
      <w:pPr>
        <w:shd w:val="clear" w:color="auto" w:fill="FFFFFF"/>
        <w:spacing w:before="100" w:beforeAutospacing="1" w:after="100" w:afterAutospacing="1" w:line="240" w:lineRule="auto"/>
        <w:contextualSpacing/>
        <w:jc w:val="both"/>
        <w:rPr>
          <w:rFonts w:eastAsia="Times New Roman" w:cstheme="minorHAnsi"/>
          <w:i/>
          <w:iCs/>
          <w:lang w:val="fr-BE" w:eastAsia="en-GB"/>
        </w:rPr>
      </w:pPr>
      <w:r w:rsidRPr="006E3CAB">
        <w:rPr>
          <w:rFonts w:eastAsia="Times New Roman" w:cstheme="minorHAnsi"/>
          <w:i/>
          <w:iCs/>
          <w:lang w:val="fr-BE" w:eastAsia="en-GB"/>
        </w:rPr>
        <w:t>En effet, votre mi-temps médical a déjà été accepté pour une durée de deux fois 3 mois, comme autorisé par la CCT du 30 juin 2008 relative au mi-temps médical.</w:t>
      </w:r>
    </w:p>
    <w:p w14:paraId="596CB6ED" w14:textId="45834701" w:rsidR="0031453A" w:rsidRPr="006E3CAB" w:rsidRDefault="0031453A" w:rsidP="00D368C9">
      <w:pPr>
        <w:shd w:val="clear" w:color="auto" w:fill="FFFFFF"/>
        <w:spacing w:before="100" w:beforeAutospacing="1" w:after="100" w:afterAutospacing="1" w:line="240" w:lineRule="auto"/>
        <w:contextualSpacing/>
        <w:jc w:val="both"/>
        <w:rPr>
          <w:rFonts w:eastAsia="Times New Roman" w:cstheme="minorHAnsi"/>
          <w:i/>
          <w:iCs/>
          <w:lang w:val="fr-BE" w:eastAsia="en-GB"/>
        </w:rPr>
      </w:pPr>
      <w:r w:rsidRPr="006E3CAB">
        <w:rPr>
          <w:rFonts w:eastAsia="Times New Roman" w:cstheme="minorHAnsi"/>
          <w:i/>
          <w:iCs/>
          <w:lang w:val="fr-BE" w:eastAsia="en-GB"/>
        </w:rPr>
        <w:t>De plus, après examen de la situation, il s’avère que nous ne sommes pas en mesure d’accéder à votre demande pour des raisons organisationnelles de travail ».</w:t>
      </w:r>
    </w:p>
    <w:p w14:paraId="0FE86A0D" w14:textId="62394053" w:rsidR="0031453A" w:rsidRPr="006E3CAB" w:rsidRDefault="0031453A" w:rsidP="00D368C9">
      <w:pPr>
        <w:shd w:val="clear" w:color="auto" w:fill="FFFFFF"/>
        <w:spacing w:before="100" w:beforeAutospacing="1" w:after="100" w:afterAutospacing="1" w:line="240" w:lineRule="auto"/>
        <w:contextualSpacing/>
        <w:jc w:val="both"/>
        <w:rPr>
          <w:rFonts w:eastAsia="Times New Roman" w:cstheme="minorHAnsi"/>
          <w:i/>
          <w:iCs/>
          <w:lang w:val="fr-BE" w:eastAsia="en-GB"/>
        </w:rPr>
      </w:pPr>
    </w:p>
    <w:p w14:paraId="3A4829C4" w14:textId="2FAEDC9D" w:rsidR="00137B27" w:rsidRDefault="002A034B" w:rsidP="00D368C9">
      <w:pPr>
        <w:shd w:val="clear" w:color="auto" w:fill="FFFFFF"/>
        <w:spacing w:before="100" w:beforeAutospacing="1" w:after="100" w:afterAutospacing="1" w:line="240" w:lineRule="auto"/>
        <w:contextualSpacing/>
        <w:jc w:val="both"/>
        <w:rPr>
          <w:rFonts w:cstheme="minorHAnsi"/>
          <w:lang w:val="fr-BE"/>
        </w:rPr>
      </w:pPr>
      <w:r>
        <w:rPr>
          <w:rFonts w:eastAsia="Times New Roman" w:cstheme="minorHAnsi"/>
          <w:lang w:val="fr-BE" w:eastAsia="en-GB"/>
        </w:rPr>
        <w:t>A la lecture de cette décision de refus, l</w:t>
      </w:r>
      <w:r w:rsidR="0031453A" w:rsidRPr="006E3CAB">
        <w:rPr>
          <w:rFonts w:eastAsia="Times New Roman" w:cstheme="minorHAnsi"/>
          <w:lang w:val="fr-BE" w:eastAsia="en-GB"/>
        </w:rPr>
        <w:t xml:space="preserve">e tribunal analyse ce refus comme une </w:t>
      </w:r>
      <w:r w:rsidR="00A41FC4" w:rsidRPr="006E3CAB">
        <w:rPr>
          <w:rFonts w:cstheme="minorHAnsi"/>
          <w:lang w:val="fr-BE"/>
        </w:rPr>
        <w:t xml:space="preserve">discrimination </w:t>
      </w:r>
      <w:r w:rsidR="00D84B29">
        <w:rPr>
          <w:rFonts w:cstheme="minorHAnsi"/>
          <w:lang w:val="fr-BE"/>
        </w:rPr>
        <w:t>in</w:t>
      </w:r>
      <w:r w:rsidR="00A41FC4" w:rsidRPr="006E3CAB">
        <w:rPr>
          <w:rFonts w:cstheme="minorHAnsi"/>
          <w:lang w:val="fr-BE"/>
        </w:rPr>
        <w:t xml:space="preserve">directe au regard du handicap de </w:t>
      </w:r>
      <w:r w:rsidR="0031453A" w:rsidRPr="006E3CAB">
        <w:rPr>
          <w:rFonts w:cstheme="minorHAnsi"/>
          <w:lang w:val="fr-BE"/>
        </w:rPr>
        <w:t xml:space="preserve">Monsieur </w:t>
      </w:r>
      <w:r w:rsidR="00AC7907">
        <w:rPr>
          <w:rFonts w:cstheme="minorHAnsi"/>
          <w:lang w:val="fr-BE"/>
        </w:rPr>
        <w:t>P</w:t>
      </w:r>
      <w:r w:rsidR="00D9760F">
        <w:rPr>
          <w:rFonts w:cstheme="minorHAnsi"/>
          <w:lang w:val="fr-BE"/>
        </w:rPr>
        <w:t>.</w:t>
      </w:r>
      <w:r>
        <w:rPr>
          <w:rFonts w:cstheme="minorHAnsi"/>
          <w:lang w:val="fr-BE"/>
        </w:rPr>
        <w:t xml:space="preserve"> En effet, r</w:t>
      </w:r>
      <w:r w:rsidR="0031453A" w:rsidRPr="006E3CAB">
        <w:rPr>
          <w:rFonts w:cstheme="minorHAnsi"/>
          <w:lang w:val="fr-BE"/>
        </w:rPr>
        <w:t>efuser un mi-temps médical à toute personne dont le handicap, l’état de santé</w:t>
      </w:r>
      <w:r w:rsidR="00125823" w:rsidRPr="006E3CAB">
        <w:rPr>
          <w:rFonts w:cstheme="minorHAnsi"/>
          <w:lang w:val="fr-BE"/>
        </w:rPr>
        <w:t xml:space="preserve"> ou</w:t>
      </w:r>
      <w:r w:rsidR="0031453A" w:rsidRPr="006E3CAB">
        <w:rPr>
          <w:rFonts w:cstheme="minorHAnsi"/>
          <w:lang w:val="fr-BE"/>
        </w:rPr>
        <w:t xml:space="preserve"> la maladie ne permet pas de prester à temps plein,</w:t>
      </w:r>
      <w:r w:rsidR="000A17B9">
        <w:rPr>
          <w:rFonts w:cstheme="minorHAnsi"/>
          <w:lang w:val="fr-BE"/>
        </w:rPr>
        <w:t xml:space="preserve"> au-delà de 6 mois,</w:t>
      </w:r>
      <w:r w:rsidR="0031453A" w:rsidRPr="006E3CAB">
        <w:rPr>
          <w:rFonts w:cstheme="minorHAnsi"/>
          <w:lang w:val="fr-BE"/>
        </w:rPr>
        <w:t xml:space="preserve"> </w:t>
      </w:r>
      <w:r w:rsidR="00B743B3" w:rsidRPr="006E3CAB">
        <w:rPr>
          <w:rFonts w:cstheme="minorHAnsi"/>
          <w:lang w:val="fr-BE"/>
        </w:rPr>
        <w:t xml:space="preserve">constitue une distinction </w:t>
      </w:r>
      <w:r w:rsidR="001B04EB">
        <w:rPr>
          <w:rFonts w:cstheme="minorHAnsi"/>
          <w:lang w:val="fr-BE"/>
        </w:rPr>
        <w:t>in</w:t>
      </w:r>
      <w:r w:rsidR="00B743B3" w:rsidRPr="006E3CAB">
        <w:rPr>
          <w:rFonts w:cstheme="minorHAnsi"/>
          <w:lang w:val="fr-BE"/>
        </w:rPr>
        <w:t>directe sur base d’un critère protégé</w:t>
      </w:r>
      <w:r w:rsidR="001B04EB">
        <w:rPr>
          <w:rFonts w:cstheme="minorHAnsi"/>
          <w:lang w:val="fr-BE"/>
        </w:rPr>
        <w:t xml:space="preserve">. </w:t>
      </w:r>
      <w:r w:rsidR="000F4AD0">
        <w:rPr>
          <w:rFonts w:cstheme="minorHAnsi"/>
          <w:lang w:val="fr-BE"/>
        </w:rPr>
        <w:t>La d</w:t>
      </w:r>
      <w:r w:rsidR="00795CAD">
        <w:rPr>
          <w:rFonts w:cstheme="minorHAnsi"/>
          <w:lang w:val="fr-BE"/>
        </w:rPr>
        <w:t>i</w:t>
      </w:r>
      <w:r w:rsidR="000F4AD0">
        <w:rPr>
          <w:rFonts w:cstheme="minorHAnsi"/>
          <w:lang w:val="fr-BE"/>
        </w:rPr>
        <w:t>sposition (CCT du 30 juin 2008), apparemment neutre</w:t>
      </w:r>
      <w:r w:rsidR="00795CAD">
        <w:rPr>
          <w:rFonts w:cstheme="minorHAnsi"/>
          <w:lang w:val="fr-BE"/>
        </w:rPr>
        <w:t xml:space="preserve"> (interdiction de </w:t>
      </w:r>
      <w:r w:rsidR="00ED0A65">
        <w:rPr>
          <w:rFonts w:cstheme="minorHAnsi"/>
          <w:lang w:val="fr-BE"/>
        </w:rPr>
        <w:t>mi-temps médical au-delà de 6 mois)</w:t>
      </w:r>
      <w:r w:rsidR="000F4AD0">
        <w:rPr>
          <w:rFonts w:cstheme="minorHAnsi"/>
          <w:lang w:val="fr-BE"/>
        </w:rPr>
        <w:t xml:space="preserve">, </w:t>
      </w:r>
      <w:r w:rsidR="008853AE">
        <w:rPr>
          <w:rFonts w:cstheme="minorHAnsi"/>
          <w:lang w:val="fr-BE"/>
        </w:rPr>
        <w:t xml:space="preserve">entraîne, par rapport à d’autres personnes (travailleur </w:t>
      </w:r>
      <w:r w:rsidR="00604716">
        <w:rPr>
          <w:rFonts w:cstheme="minorHAnsi"/>
          <w:lang w:val="fr-BE"/>
        </w:rPr>
        <w:t xml:space="preserve">dont le mi-temps médical n’est pas nécessaire au-delà de 6 mois), un désavantage particulier pour une personne protégée par un des critères (Monsieur </w:t>
      </w:r>
      <w:r w:rsidR="00AC7907">
        <w:rPr>
          <w:rFonts w:cstheme="minorHAnsi"/>
          <w:lang w:val="fr-BE"/>
        </w:rPr>
        <w:t>P</w:t>
      </w:r>
      <w:r w:rsidR="00604716">
        <w:rPr>
          <w:rFonts w:cstheme="minorHAnsi"/>
          <w:lang w:val="fr-BE"/>
        </w:rPr>
        <w:t xml:space="preserve"> et son handicap).</w:t>
      </w:r>
    </w:p>
    <w:p w14:paraId="2AD8831B" w14:textId="2065469A" w:rsidR="00903AF4" w:rsidRDefault="005A6CCB" w:rsidP="00903AF4">
      <w:pPr>
        <w:pStyle w:val="Liste"/>
        <w:spacing w:before="100" w:beforeAutospacing="1" w:after="100" w:afterAutospacing="1"/>
        <w:ind w:left="0" w:firstLine="0"/>
        <w:contextualSpacing/>
        <w:jc w:val="both"/>
        <w:rPr>
          <w:rFonts w:asciiTheme="minorHAnsi" w:hAnsiTheme="minorHAnsi" w:cstheme="minorHAnsi"/>
          <w:sz w:val="22"/>
          <w:szCs w:val="22"/>
          <w:lang w:val="fr-BE"/>
        </w:rPr>
      </w:pPr>
      <w:r>
        <w:rPr>
          <w:rFonts w:asciiTheme="minorHAnsi" w:hAnsiTheme="minorHAnsi" w:cstheme="minorHAnsi"/>
          <w:sz w:val="22"/>
          <w:szCs w:val="22"/>
          <w:lang w:val="fr-BE"/>
        </w:rPr>
        <w:t xml:space="preserve">L’OTW </w:t>
      </w:r>
      <w:r w:rsidR="00B86245">
        <w:rPr>
          <w:rFonts w:asciiTheme="minorHAnsi" w:hAnsiTheme="minorHAnsi" w:cstheme="minorHAnsi"/>
          <w:sz w:val="22"/>
          <w:szCs w:val="22"/>
          <w:lang w:val="fr-BE"/>
        </w:rPr>
        <w:t>analyse la situation également sous l’angle d’une prétendue discrimination sur l’état de santé</w:t>
      </w:r>
      <w:r w:rsidR="00BE44DD">
        <w:rPr>
          <w:rFonts w:asciiTheme="minorHAnsi" w:hAnsiTheme="minorHAnsi" w:cstheme="minorHAnsi"/>
          <w:sz w:val="22"/>
          <w:szCs w:val="22"/>
          <w:lang w:val="fr-BE"/>
        </w:rPr>
        <w:t xml:space="preserve"> (autre critère)</w:t>
      </w:r>
      <w:r w:rsidR="00B86245">
        <w:rPr>
          <w:rFonts w:asciiTheme="minorHAnsi" w:hAnsiTheme="minorHAnsi" w:cstheme="minorHAnsi"/>
          <w:sz w:val="22"/>
          <w:szCs w:val="22"/>
          <w:lang w:val="fr-BE"/>
        </w:rPr>
        <w:t xml:space="preserve">. Dans ce cas, il </w:t>
      </w:r>
      <w:r w:rsidR="00BE44DD">
        <w:rPr>
          <w:rFonts w:asciiTheme="minorHAnsi" w:hAnsiTheme="minorHAnsi" w:cstheme="minorHAnsi"/>
          <w:sz w:val="22"/>
          <w:szCs w:val="22"/>
          <w:lang w:val="fr-BE"/>
        </w:rPr>
        <w:t>aurait été question de démontrer</w:t>
      </w:r>
      <w:r w:rsidR="00DA4FC3">
        <w:rPr>
          <w:rFonts w:asciiTheme="minorHAnsi" w:hAnsiTheme="minorHAnsi" w:cstheme="minorHAnsi"/>
          <w:sz w:val="22"/>
          <w:szCs w:val="22"/>
          <w:lang w:val="fr-BE"/>
        </w:rPr>
        <w:t xml:space="preserve"> que la disposition ou la pratique</w:t>
      </w:r>
      <w:r w:rsidR="00903AF4">
        <w:rPr>
          <w:rFonts w:asciiTheme="minorHAnsi" w:hAnsiTheme="minorHAnsi" w:cstheme="minorHAnsi"/>
          <w:sz w:val="22"/>
          <w:szCs w:val="22"/>
          <w:lang w:val="fr-BE"/>
        </w:rPr>
        <w:t xml:space="preserve"> apparemment neutre mais</w:t>
      </w:r>
      <w:r w:rsidR="00DA4FC3">
        <w:rPr>
          <w:rFonts w:asciiTheme="minorHAnsi" w:hAnsiTheme="minorHAnsi" w:cstheme="minorHAnsi"/>
          <w:sz w:val="22"/>
          <w:szCs w:val="22"/>
          <w:lang w:val="fr-BE"/>
        </w:rPr>
        <w:t xml:space="preserve"> jugée discriminante</w:t>
      </w:r>
      <w:r w:rsidR="00903AF4">
        <w:rPr>
          <w:rFonts w:asciiTheme="minorHAnsi" w:hAnsiTheme="minorHAnsi" w:cstheme="minorHAnsi"/>
          <w:sz w:val="22"/>
          <w:szCs w:val="22"/>
          <w:lang w:val="fr-BE"/>
        </w:rPr>
        <w:t xml:space="preserve"> était objectivement justifi</w:t>
      </w:r>
      <w:r w:rsidR="005A7AD5">
        <w:rPr>
          <w:rFonts w:asciiTheme="minorHAnsi" w:hAnsiTheme="minorHAnsi" w:cstheme="minorHAnsi"/>
          <w:sz w:val="22"/>
          <w:szCs w:val="22"/>
          <w:lang w:val="fr-BE"/>
        </w:rPr>
        <w:t>ée</w:t>
      </w:r>
      <w:r w:rsidR="00903AF4">
        <w:rPr>
          <w:rFonts w:asciiTheme="minorHAnsi" w:hAnsiTheme="minorHAnsi" w:cstheme="minorHAnsi"/>
          <w:sz w:val="22"/>
          <w:szCs w:val="22"/>
          <w:lang w:val="fr-BE"/>
        </w:rPr>
        <w:t xml:space="preserve"> par un but légitime et si les moyens de réaliser ce but sont appropriés et nécessaires. </w:t>
      </w:r>
    </w:p>
    <w:p w14:paraId="2B5045BD" w14:textId="77777777" w:rsidR="00903AF4" w:rsidRDefault="00903AF4" w:rsidP="00903AF4">
      <w:pPr>
        <w:pStyle w:val="Liste"/>
        <w:spacing w:before="100" w:beforeAutospacing="1" w:after="100" w:afterAutospacing="1"/>
        <w:ind w:left="0" w:firstLine="0"/>
        <w:contextualSpacing/>
        <w:jc w:val="both"/>
        <w:rPr>
          <w:rFonts w:asciiTheme="minorHAnsi" w:hAnsiTheme="minorHAnsi" w:cstheme="minorHAnsi"/>
          <w:sz w:val="22"/>
          <w:szCs w:val="22"/>
          <w:lang w:val="fr-BE"/>
        </w:rPr>
      </w:pPr>
    </w:p>
    <w:p w14:paraId="736AE02D" w14:textId="55A65EEC" w:rsidR="00903AF4" w:rsidRDefault="00903AF4" w:rsidP="00903AF4">
      <w:pPr>
        <w:pStyle w:val="Liste"/>
        <w:spacing w:before="100" w:beforeAutospacing="1" w:after="100" w:afterAutospacing="1"/>
        <w:ind w:left="0" w:firstLine="0"/>
        <w:contextualSpacing/>
        <w:jc w:val="both"/>
        <w:rPr>
          <w:rFonts w:asciiTheme="minorHAnsi" w:hAnsiTheme="minorHAnsi" w:cstheme="minorHAnsi"/>
          <w:sz w:val="22"/>
          <w:szCs w:val="22"/>
          <w:lang w:val="fr-BE"/>
        </w:rPr>
      </w:pPr>
      <w:r>
        <w:rPr>
          <w:rFonts w:asciiTheme="minorHAnsi" w:hAnsiTheme="minorHAnsi" w:cstheme="minorHAnsi"/>
          <w:sz w:val="22"/>
          <w:szCs w:val="22"/>
          <w:lang w:val="fr-BE"/>
        </w:rPr>
        <w:t>Cependant, l’article 9 de la loi</w:t>
      </w:r>
      <w:r w:rsidR="00146E06">
        <w:rPr>
          <w:rFonts w:asciiTheme="minorHAnsi" w:hAnsiTheme="minorHAnsi" w:cstheme="minorHAnsi"/>
          <w:sz w:val="22"/>
          <w:szCs w:val="22"/>
          <w:lang w:val="fr-BE"/>
        </w:rPr>
        <w:t xml:space="preserve"> </w:t>
      </w:r>
      <w:r>
        <w:rPr>
          <w:rFonts w:asciiTheme="minorHAnsi" w:hAnsiTheme="minorHAnsi" w:cstheme="minorHAnsi"/>
          <w:sz w:val="22"/>
          <w:szCs w:val="22"/>
          <w:lang w:val="fr-BE"/>
        </w:rPr>
        <w:t xml:space="preserve">établit une exception spécifique à la discrimination indirecte dans le cas où le handicap </w:t>
      </w:r>
      <w:r w:rsidRPr="003003C8">
        <w:rPr>
          <w:rFonts w:asciiTheme="minorHAnsi" w:hAnsiTheme="minorHAnsi" w:cstheme="minorHAnsi"/>
          <w:sz w:val="22"/>
          <w:szCs w:val="22"/>
          <w:lang w:val="fr-BE"/>
        </w:rPr>
        <w:t>est le critère protégé en jeu : il convient de démontrer qu’aucun aménagement raisonnable ne peut être mis en place.</w:t>
      </w:r>
      <w:r>
        <w:rPr>
          <w:rFonts w:asciiTheme="minorHAnsi" w:hAnsiTheme="minorHAnsi" w:cstheme="minorHAnsi"/>
          <w:sz w:val="22"/>
          <w:szCs w:val="22"/>
          <w:lang w:val="fr-BE"/>
        </w:rPr>
        <w:t xml:space="preserve"> </w:t>
      </w:r>
    </w:p>
    <w:p w14:paraId="5E52722D" w14:textId="77777777" w:rsidR="00744B5F" w:rsidRDefault="00744B5F" w:rsidP="00903AF4">
      <w:pPr>
        <w:pStyle w:val="Liste"/>
        <w:spacing w:before="100" w:beforeAutospacing="1" w:after="100" w:afterAutospacing="1"/>
        <w:ind w:left="0" w:firstLine="0"/>
        <w:contextualSpacing/>
        <w:jc w:val="both"/>
        <w:rPr>
          <w:rFonts w:asciiTheme="minorHAnsi" w:hAnsiTheme="minorHAnsi" w:cstheme="minorHAnsi"/>
          <w:sz w:val="22"/>
          <w:szCs w:val="22"/>
          <w:lang w:val="fr-BE"/>
        </w:rPr>
      </w:pPr>
    </w:p>
    <w:p w14:paraId="66528196" w14:textId="77777777" w:rsidR="00C81F54" w:rsidRDefault="00744B5F" w:rsidP="00903AF4">
      <w:pPr>
        <w:pStyle w:val="Liste"/>
        <w:spacing w:before="100" w:beforeAutospacing="1" w:after="100" w:afterAutospacing="1"/>
        <w:ind w:left="0" w:firstLine="0"/>
        <w:contextualSpacing/>
        <w:jc w:val="both"/>
        <w:rPr>
          <w:rFonts w:asciiTheme="minorHAnsi" w:hAnsiTheme="minorHAnsi" w:cstheme="minorHAnsi"/>
          <w:sz w:val="22"/>
          <w:szCs w:val="22"/>
          <w:lang w:val="fr-BE"/>
        </w:rPr>
      </w:pPr>
      <w:r>
        <w:rPr>
          <w:rFonts w:asciiTheme="minorHAnsi" w:hAnsiTheme="minorHAnsi" w:cstheme="minorHAnsi"/>
          <w:sz w:val="22"/>
          <w:szCs w:val="22"/>
          <w:lang w:val="fr-BE"/>
        </w:rPr>
        <w:t>Dans le cas d’un autre critère</w:t>
      </w:r>
      <w:r w:rsidR="00146E06">
        <w:rPr>
          <w:rFonts w:asciiTheme="minorHAnsi" w:hAnsiTheme="minorHAnsi" w:cstheme="minorHAnsi"/>
          <w:sz w:val="22"/>
          <w:szCs w:val="22"/>
          <w:lang w:val="fr-BE"/>
        </w:rPr>
        <w:t xml:space="preserve">, le focus aurait été mis sur la justification de la disposition ou de la pratique. </w:t>
      </w:r>
      <w:r w:rsidR="006C6C9A" w:rsidRPr="006C6C9A">
        <w:rPr>
          <w:rFonts w:asciiTheme="minorHAnsi" w:hAnsiTheme="minorHAnsi" w:cstheme="minorHAnsi"/>
          <w:sz w:val="22"/>
          <w:szCs w:val="22"/>
          <w:lang w:val="fr-BE"/>
        </w:rPr>
        <w:t>Il est généralement plus facile d’établir des faits présumant une discrimination directe qu’indirecte</w:t>
      </w:r>
      <w:r w:rsidR="006C6C9A">
        <w:rPr>
          <w:rStyle w:val="Appelnotedebasdep"/>
          <w:rFonts w:asciiTheme="minorHAnsi" w:hAnsiTheme="minorHAnsi" w:cstheme="minorHAnsi"/>
          <w:sz w:val="22"/>
          <w:szCs w:val="22"/>
          <w:lang w:val="fr-BE"/>
        </w:rPr>
        <w:footnoteReference w:id="9"/>
      </w:r>
      <w:r w:rsidR="006C6C9A" w:rsidRPr="006C6C9A">
        <w:rPr>
          <w:rFonts w:asciiTheme="minorHAnsi" w:hAnsiTheme="minorHAnsi" w:cstheme="minorHAnsi"/>
          <w:sz w:val="22"/>
          <w:szCs w:val="22"/>
          <w:lang w:val="fr-BE"/>
        </w:rPr>
        <w:t xml:space="preserve">. </w:t>
      </w:r>
    </w:p>
    <w:p w14:paraId="378797BA" w14:textId="77777777" w:rsidR="00C81F54" w:rsidRDefault="00C81F54" w:rsidP="00903AF4">
      <w:pPr>
        <w:pStyle w:val="Liste"/>
        <w:spacing w:before="100" w:beforeAutospacing="1" w:after="100" w:afterAutospacing="1"/>
        <w:ind w:left="0" w:firstLine="0"/>
        <w:contextualSpacing/>
        <w:jc w:val="both"/>
        <w:rPr>
          <w:rFonts w:asciiTheme="minorHAnsi" w:hAnsiTheme="minorHAnsi" w:cstheme="minorHAnsi"/>
          <w:sz w:val="22"/>
          <w:szCs w:val="22"/>
          <w:lang w:val="fr-BE"/>
        </w:rPr>
      </w:pPr>
    </w:p>
    <w:p w14:paraId="54DE5AA7" w14:textId="06424617" w:rsidR="00744B5F" w:rsidRPr="00DA2057" w:rsidRDefault="007E7839" w:rsidP="00903AF4">
      <w:pPr>
        <w:pStyle w:val="Liste"/>
        <w:spacing w:before="100" w:beforeAutospacing="1" w:after="100" w:afterAutospacing="1"/>
        <w:ind w:left="0" w:firstLine="0"/>
        <w:contextualSpacing/>
        <w:jc w:val="both"/>
        <w:rPr>
          <w:rFonts w:asciiTheme="minorHAnsi" w:hAnsiTheme="minorHAnsi" w:cstheme="minorHAnsi"/>
          <w:sz w:val="22"/>
          <w:szCs w:val="22"/>
          <w:lang w:val="fr-BE"/>
        </w:rPr>
      </w:pPr>
      <w:r w:rsidRPr="00C81F54">
        <w:rPr>
          <w:rFonts w:asciiTheme="minorHAnsi" w:hAnsiTheme="minorHAnsi" w:cstheme="minorHAnsi"/>
          <w:i/>
          <w:iCs/>
          <w:sz w:val="22"/>
          <w:szCs w:val="22"/>
          <w:lang w:val="fr-BE"/>
        </w:rPr>
        <w:t>A contrario</w:t>
      </w:r>
      <w:r>
        <w:rPr>
          <w:rFonts w:asciiTheme="minorHAnsi" w:hAnsiTheme="minorHAnsi" w:cstheme="minorHAnsi"/>
          <w:sz w:val="22"/>
          <w:szCs w:val="22"/>
          <w:lang w:val="fr-BE"/>
        </w:rPr>
        <w:t>,</w:t>
      </w:r>
      <w:r w:rsidR="00146E06">
        <w:rPr>
          <w:rFonts w:asciiTheme="minorHAnsi" w:hAnsiTheme="minorHAnsi" w:cstheme="minorHAnsi"/>
          <w:sz w:val="22"/>
          <w:szCs w:val="22"/>
          <w:lang w:val="fr-BE"/>
        </w:rPr>
        <w:t xml:space="preserve"> dans le cas du handicap, le focus doit dès lors porter sur l</w:t>
      </w:r>
      <w:r>
        <w:rPr>
          <w:rFonts w:asciiTheme="minorHAnsi" w:hAnsiTheme="minorHAnsi" w:cstheme="minorHAnsi"/>
          <w:sz w:val="22"/>
          <w:szCs w:val="22"/>
          <w:lang w:val="fr-BE"/>
        </w:rPr>
        <w:t>a possibilité de l</w:t>
      </w:r>
      <w:r w:rsidR="00146E06">
        <w:rPr>
          <w:rFonts w:asciiTheme="minorHAnsi" w:hAnsiTheme="minorHAnsi" w:cstheme="minorHAnsi"/>
          <w:sz w:val="22"/>
          <w:szCs w:val="22"/>
          <w:lang w:val="fr-BE"/>
        </w:rPr>
        <w:t>’aménagement raisonnable controversé voir, refusé.</w:t>
      </w:r>
      <w:r w:rsidR="00C31904">
        <w:rPr>
          <w:rFonts w:asciiTheme="minorHAnsi" w:hAnsiTheme="minorHAnsi" w:cstheme="minorHAnsi"/>
          <w:sz w:val="22"/>
          <w:szCs w:val="22"/>
          <w:lang w:val="fr-BE"/>
        </w:rPr>
        <w:t xml:space="preserve"> Or, « </w:t>
      </w:r>
      <w:r w:rsidR="00C31904" w:rsidRPr="00DA2057">
        <w:rPr>
          <w:rFonts w:asciiTheme="minorHAnsi" w:hAnsiTheme="minorHAnsi" w:cstheme="minorHAnsi"/>
          <w:i/>
          <w:iCs/>
          <w:sz w:val="22"/>
          <w:szCs w:val="22"/>
          <w:lang w:val="fr-BE"/>
        </w:rPr>
        <w:t>La cour relève toutefois qu’il n’existe pas de règles de preuve relatives au refus des aménagements raisonnables, ce qui permet de conclure que le simple refus suffit à</w:t>
      </w:r>
      <w:r w:rsidR="00DA2057" w:rsidRPr="00DA2057">
        <w:rPr>
          <w:rFonts w:asciiTheme="minorHAnsi" w:hAnsiTheme="minorHAnsi" w:cstheme="minorHAnsi"/>
          <w:i/>
          <w:iCs/>
          <w:sz w:val="22"/>
          <w:szCs w:val="22"/>
          <w:lang w:val="fr-BE"/>
        </w:rPr>
        <w:t xml:space="preserve"> considérer la discrimination établie, pour autant que les mesures n’apparaissent pas disproportionnées</w:t>
      </w:r>
      <w:r w:rsidR="00DA2057" w:rsidRPr="00DA2057">
        <w:rPr>
          <w:rFonts w:asciiTheme="minorHAnsi" w:hAnsiTheme="minorHAnsi" w:cstheme="minorHAnsi"/>
          <w:sz w:val="22"/>
          <w:szCs w:val="22"/>
          <w:lang w:val="fr-BE"/>
        </w:rPr>
        <w:t>.</w:t>
      </w:r>
      <w:r w:rsidR="00DA2057">
        <w:rPr>
          <w:rFonts w:asciiTheme="minorHAnsi" w:hAnsiTheme="minorHAnsi" w:cstheme="minorHAnsi"/>
          <w:sz w:val="22"/>
          <w:szCs w:val="22"/>
          <w:lang w:val="fr-BE"/>
        </w:rPr>
        <w:t> »</w:t>
      </w:r>
      <w:r w:rsidR="00DA2057">
        <w:rPr>
          <w:rStyle w:val="Appelnotedebasdep"/>
          <w:rFonts w:asciiTheme="minorHAnsi" w:hAnsiTheme="minorHAnsi" w:cstheme="minorHAnsi"/>
          <w:sz w:val="22"/>
          <w:szCs w:val="22"/>
          <w:lang w:val="fr-BE"/>
        </w:rPr>
        <w:footnoteReference w:id="10"/>
      </w:r>
    </w:p>
    <w:p w14:paraId="2D46F312" w14:textId="77777777" w:rsidR="003003C8" w:rsidRPr="003003C8" w:rsidRDefault="003003C8"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0431DDC7" w14:textId="77777777" w:rsidR="00B743B3" w:rsidRPr="003003C8" w:rsidRDefault="00B743B3" w:rsidP="00D368C9">
      <w:pPr>
        <w:pStyle w:val="Liste"/>
        <w:spacing w:before="100" w:beforeAutospacing="1" w:after="100" w:afterAutospacing="1"/>
        <w:ind w:left="0" w:firstLine="0"/>
        <w:contextualSpacing/>
        <w:jc w:val="both"/>
        <w:rPr>
          <w:rFonts w:asciiTheme="minorHAnsi" w:hAnsiTheme="minorHAnsi" w:cstheme="minorHAnsi"/>
          <w:i/>
          <w:sz w:val="22"/>
          <w:szCs w:val="22"/>
        </w:rPr>
      </w:pPr>
    </w:p>
    <w:p w14:paraId="0F3FA0B2" w14:textId="25F9FD54" w:rsidR="00A41FC4" w:rsidRPr="003003C8" w:rsidRDefault="003003C8" w:rsidP="0043243C">
      <w:pPr>
        <w:pStyle w:val="Liste"/>
        <w:numPr>
          <w:ilvl w:val="0"/>
          <w:numId w:val="29"/>
        </w:numPr>
        <w:spacing w:before="100" w:beforeAutospacing="1" w:after="100" w:afterAutospacing="1"/>
        <w:contextualSpacing/>
        <w:jc w:val="both"/>
        <w:rPr>
          <w:rFonts w:asciiTheme="minorHAnsi" w:hAnsiTheme="minorHAnsi" w:cstheme="minorHAnsi"/>
          <w:sz w:val="22"/>
          <w:szCs w:val="22"/>
          <w:u w:val="single"/>
        </w:rPr>
      </w:pPr>
      <w:r w:rsidRPr="003003C8">
        <w:rPr>
          <w:rFonts w:asciiTheme="minorHAnsi" w:hAnsiTheme="minorHAnsi" w:cstheme="minorHAnsi"/>
          <w:sz w:val="22"/>
          <w:szCs w:val="22"/>
          <w:u w:val="single"/>
        </w:rPr>
        <w:t>Possibilité de mise en place d’un aménagement raisonnable</w:t>
      </w:r>
    </w:p>
    <w:p w14:paraId="170485D6" w14:textId="77777777" w:rsidR="00A41FC4" w:rsidRPr="003003C8" w:rsidRDefault="00A41FC4" w:rsidP="00D368C9">
      <w:pPr>
        <w:pStyle w:val="Liste"/>
        <w:spacing w:before="100" w:beforeAutospacing="1" w:after="100" w:afterAutospacing="1"/>
        <w:ind w:left="0" w:firstLine="0"/>
        <w:contextualSpacing/>
        <w:jc w:val="both"/>
        <w:rPr>
          <w:rFonts w:asciiTheme="minorHAnsi" w:hAnsiTheme="minorHAnsi" w:cstheme="minorHAnsi"/>
          <w:sz w:val="22"/>
          <w:szCs w:val="22"/>
          <w:highlight w:val="cyan"/>
          <w:u w:val="single"/>
        </w:rPr>
      </w:pPr>
    </w:p>
    <w:p w14:paraId="5A78B0E6" w14:textId="2FEA88CF" w:rsidR="00D86B4A" w:rsidRDefault="00D86B4A" w:rsidP="00D368C9">
      <w:pPr>
        <w:pStyle w:val="Liste"/>
        <w:spacing w:before="100" w:beforeAutospacing="1" w:after="100" w:afterAutospacing="1"/>
        <w:ind w:left="0"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L’article 4 </w:t>
      </w:r>
      <w:r w:rsidR="00F72D80">
        <w:rPr>
          <w:rFonts w:asciiTheme="minorHAnsi" w:hAnsiTheme="minorHAnsi" w:cstheme="minorHAnsi"/>
          <w:sz w:val="22"/>
          <w:szCs w:val="22"/>
        </w:rPr>
        <w:t>du décret</w:t>
      </w:r>
      <w:r>
        <w:rPr>
          <w:rFonts w:asciiTheme="minorHAnsi" w:hAnsiTheme="minorHAnsi" w:cstheme="minorHAnsi"/>
          <w:sz w:val="22"/>
          <w:szCs w:val="22"/>
        </w:rPr>
        <w:t xml:space="preserve"> définit l’aménagement raisonnable comme suit :</w:t>
      </w:r>
    </w:p>
    <w:p w14:paraId="56B0273D" w14:textId="77777777" w:rsidR="00DE1F5F" w:rsidRDefault="00DE1F5F"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0AC194E0" w14:textId="2D66C3F7" w:rsidR="00646CE2" w:rsidRDefault="00D86B4A" w:rsidP="00D86B4A">
      <w:pPr>
        <w:pStyle w:val="Liste"/>
        <w:spacing w:before="100" w:beforeAutospacing="1" w:after="100" w:afterAutospacing="1"/>
        <w:ind w:left="567" w:firstLine="0"/>
        <w:contextualSpacing/>
        <w:jc w:val="both"/>
        <w:rPr>
          <w:rFonts w:asciiTheme="minorHAnsi" w:hAnsiTheme="minorHAnsi" w:cstheme="minorHAnsi"/>
          <w:bCs/>
          <w:i/>
          <w:color w:val="000000"/>
          <w:sz w:val="22"/>
          <w:szCs w:val="22"/>
        </w:rPr>
      </w:pPr>
      <w:r>
        <w:rPr>
          <w:rFonts w:asciiTheme="minorHAnsi" w:hAnsiTheme="minorHAnsi" w:cstheme="minorHAnsi"/>
          <w:sz w:val="22"/>
          <w:szCs w:val="22"/>
        </w:rPr>
        <w:t xml:space="preserve"> « </w:t>
      </w:r>
      <w:r w:rsidRPr="006E3CAB">
        <w:rPr>
          <w:rFonts w:asciiTheme="minorHAnsi" w:hAnsiTheme="minorHAnsi" w:cstheme="minorHAnsi"/>
          <w:bCs/>
          <w:i/>
          <w:color w:val="000000"/>
          <w:sz w:val="22"/>
          <w:szCs w:val="22"/>
        </w:rPr>
        <w:t xml:space="preserve">mesures </w:t>
      </w:r>
      <w:r w:rsidRPr="00D86B4A">
        <w:rPr>
          <w:rFonts w:asciiTheme="minorHAnsi" w:hAnsiTheme="minorHAnsi" w:cstheme="minorHAnsi"/>
          <w:b/>
          <w:i/>
          <w:color w:val="000000"/>
          <w:sz w:val="22"/>
          <w:szCs w:val="22"/>
        </w:rPr>
        <w:t>appropriées</w:t>
      </w:r>
      <w:r w:rsidRPr="006E3CAB">
        <w:rPr>
          <w:rFonts w:asciiTheme="minorHAnsi" w:hAnsiTheme="minorHAnsi" w:cstheme="minorHAnsi"/>
          <w:bCs/>
          <w:i/>
          <w:color w:val="000000"/>
          <w:sz w:val="22"/>
          <w:szCs w:val="22"/>
        </w:rPr>
        <w:t xml:space="preserve">, prises </w:t>
      </w:r>
      <w:r w:rsidRPr="00D86B4A">
        <w:rPr>
          <w:rFonts w:asciiTheme="minorHAnsi" w:hAnsiTheme="minorHAnsi" w:cstheme="minorHAnsi"/>
          <w:b/>
          <w:i/>
          <w:color w:val="000000"/>
          <w:sz w:val="22"/>
          <w:szCs w:val="22"/>
        </w:rPr>
        <w:t>en fonction des besoins dans une situation concrète</w:t>
      </w:r>
      <w:r w:rsidRPr="006E3CAB">
        <w:rPr>
          <w:rFonts w:asciiTheme="minorHAnsi" w:hAnsiTheme="minorHAnsi" w:cstheme="minorHAnsi"/>
          <w:bCs/>
          <w:i/>
          <w:color w:val="000000"/>
          <w:sz w:val="22"/>
          <w:szCs w:val="22"/>
        </w:rPr>
        <w:t xml:space="preserve">, pour permettre à une </w:t>
      </w:r>
      <w:r w:rsidRPr="00D86B4A">
        <w:rPr>
          <w:rFonts w:asciiTheme="minorHAnsi" w:hAnsiTheme="minorHAnsi" w:cstheme="minorHAnsi"/>
          <w:b/>
          <w:i/>
          <w:color w:val="000000"/>
          <w:sz w:val="22"/>
          <w:szCs w:val="22"/>
        </w:rPr>
        <w:t>personne handicapée</w:t>
      </w:r>
      <w:r w:rsidRPr="006E3CAB">
        <w:rPr>
          <w:rFonts w:asciiTheme="minorHAnsi" w:hAnsiTheme="minorHAnsi" w:cstheme="minorHAnsi"/>
          <w:bCs/>
          <w:i/>
          <w:color w:val="000000"/>
          <w:sz w:val="22"/>
          <w:szCs w:val="22"/>
        </w:rPr>
        <w:t xml:space="preserve"> d'accéder, </w:t>
      </w:r>
      <w:r w:rsidRPr="00D86B4A">
        <w:rPr>
          <w:rFonts w:asciiTheme="minorHAnsi" w:hAnsiTheme="minorHAnsi" w:cstheme="minorHAnsi"/>
          <w:b/>
          <w:i/>
          <w:color w:val="000000"/>
          <w:sz w:val="22"/>
          <w:szCs w:val="22"/>
        </w:rPr>
        <w:t>de participer</w:t>
      </w:r>
      <w:r w:rsidRPr="006E3CAB">
        <w:rPr>
          <w:rFonts w:asciiTheme="minorHAnsi" w:hAnsiTheme="minorHAnsi" w:cstheme="minorHAnsi"/>
          <w:bCs/>
          <w:i/>
          <w:color w:val="000000"/>
          <w:sz w:val="22"/>
          <w:szCs w:val="22"/>
        </w:rPr>
        <w:t xml:space="preserve"> et progresser dans les domaines pour lesquels cette loi est d'application, </w:t>
      </w:r>
      <w:r w:rsidRPr="00D86B4A">
        <w:rPr>
          <w:rFonts w:asciiTheme="minorHAnsi" w:hAnsiTheme="minorHAnsi" w:cstheme="minorHAnsi"/>
          <w:b/>
          <w:i/>
          <w:color w:val="000000"/>
          <w:sz w:val="22"/>
          <w:szCs w:val="22"/>
        </w:rPr>
        <w:t>sauf si</w:t>
      </w:r>
      <w:r w:rsidRPr="006E3CAB">
        <w:rPr>
          <w:rFonts w:asciiTheme="minorHAnsi" w:hAnsiTheme="minorHAnsi" w:cstheme="minorHAnsi"/>
          <w:bCs/>
          <w:i/>
          <w:color w:val="000000"/>
          <w:sz w:val="22"/>
          <w:szCs w:val="22"/>
        </w:rPr>
        <w:t xml:space="preserve"> ces mesures imposent à l'égard de la personne qui doit les adopter une </w:t>
      </w:r>
      <w:r w:rsidRPr="00D86B4A">
        <w:rPr>
          <w:rFonts w:asciiTheme="minorHAnsi" w:hAnsiTheme="minorHAnsi" w:cstheme="minorHAnsi"/>
          <w:b/>
          <w:i/>
          <w:color w:val="000000"/>
          <w:sz w:val="22"/>
          <w:szCs w:val="22"/>
        </w:rPr>
        <w:t>charge disproportionnée</w:t>
      </w:r>
      <w:r w:rsidRPr="006E3CAB">
        <w:rPr>
          <w:rFonts w:asciiTheme="minorHAnsi" w:hAnsiTheme="minorHAnsi" w:cstheme="minorHAnsi"/>
          <w:bCs/>
          <w:i/>
          <w:color w:val="000000"/>
          <w:sz w:val="22"/>
          <w:szCs w:val="22"/>
        </w:rPr>
        <w:t>. Cette charge n'est pas disproportionnée lorsqu'elle est compensée de façon suffisante par des mesures existant dans le cadre de la politique publique menée concernant les personnes handicapées</w:t>
      </w:r>
      <w:r>
        <w:rPr>
          <w:rFonts w:asciiTheme="minorHAnsi" w:hAnsiTheme="minorHAnsi" w:cstheme="minorHAnsi"/>
          <w:bCs/>
          <w:i/>
          <w:color w:val="000000"/>
          <w:sz w:val="22"/>
          <w:szCs w:val="22"/>
        </w:rPr>
        <w:t> ».</w:t>
      </w:r>
    </w:p>
    <w:p w14:paraId="58B54AA9" w14:textId="77777777" w:rsidR="00D86B4A" w:rsidRDefault="00D86B4A" w:rsidP="00D86B4A">
      <w:pPr>
        <w:pStyle w:val="Liste"/>
        <w:spacing w:before="100" w:beforeAutospacing="1" w:after="100" w:afterAutospacing="1"/>
        <w:contextualSpacing/>
        <w:jc w:val="both"/>
        <w:rPr>
          <w:rFonts w:asciiTheme="minorHAnsi" w:hAnsiTheme="minorHAnsi" w:cstheme="minorHAnsi"/>
          <w:bCs/>
          <w:iCs/>
          <w:color w:val="000000"/>
          <w:sz w:val="22"/>
          <w:szCs w:val="22"/>
        </w:rPr>
      </w:pPr>
    </w:p>
    <w:p w14:paraId="2DB01898" w14:textId="2FCB4792" w:rsidR="00AA1242" w:rsidRDefault="00AA1242" w:rsidP="00AA1242">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Le seul moyen de justifier l’absence d’aménagement raisonnable consiste à démontrer que la mise en place de ce dernier entrainerait une charge disproportionnée.</w:t>
      </w:r>
      <w:r w:rsidR="00A41212">
        <w:rPr>
          <w:rFonts w:asciiTheme="minorHAnsi" w:hAnsiTheme="minorHAnsi" w:cstheme="minorHAnsi"/>
          <w:bCs/>
          <w:iCs/>
          <w:color w:val="000000"/>
          <w:sz w:val="22"/>
          <w:szCs w:val="22"/>
        </w:rPr>
        <w:t xml:space="preserve"> </w:t>
      </w:r>
      <w:r w:rsidR="007E0062">
        <w:rPr>
          <w:rFonts w:asciiTheme="minorHAnsi" w:hAnsiTheme="minorHAnsi" w:cstheme="minorHAnsi"/>
          <w:bCs/>
          <w:iCs/>
          <w:color w:val="000000"/>
          <w:sz w:val="22"/>
          <w:szCs w:val="22"/>
        </w:rPr>
        <w:t>C’est au défendeur qu’il revient de démontrer le caractère disproportionné.</w:t>
      </w:r>
    </w:p>
    <w:p w14:paraId="5F8936D9" w14:textId="77777777" w:rsidR="005D0A89" w:rsidRDefault="005D0A89" w:rsidP="00AA1242">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p>
    <w:p w14:paraId="3793B305" w14:textId="09538AF3" w:rsidR="005D0A89" w:rsidRPr="005D0A89" w:rsidRDefault="005D0A89" w:rsidP="005D0A89">
      <w:pPr>
        <w:pStyle w:val="Liste"/>
        <w:spacing w:before="100" w:beforeAutospacing="1" w:after="100" w:afterAutospacing="1"/>
        <w:contextualSpacing/>
        <w:jc w:val="both"/>
        <w:rPr>
          <w:rFonts w:asciiTheme="minorHAnsi" w:hAnsiTheme="minorHAnsi" w:cstheme="minorHAnsi"/>
          <w:bCs/>
          <w:iCs/>
          <w:color w:val="000000"/>
          <w:sz w:val="22"/>
          <w:szCs w:val="22"/>
        </w:rPr>
      </w:pPr>
      <w:r w:rsidRPr="005D0A89">
        <w:rPr>
          <w:rFonts w:asciiTheme="minorHAnsi" w:hAnsiTheme="minorHAnsi" w:cstheme="minorHAnsi"/>
          <w:bCs/>
          <w:iCs/>
          <w:color w:val="000000"/>
          <w:sz w:val="22"/>
          <w:szCs w:val="22"/>
        </w:rPr>
        <w:t xml:space="preserve">Il appartient à Monsieur </w:t>
      </w:r>
      <w:r w:rsidR="00AC7907">
        <w:rPr>
          <w:rFonts w:asciiTheme="minorHAnsi" w:hAnsiTheme="minorHAnsi" w:cstheme="minorHAnsi"/>
          <w:bCs/>
          <w:iCs/>
          <w:color w:val="000000"/>
          <w:sz w:val="22"/>
          <w:szCs w:val="22"/>
        </w:rPr>
        <w:t>P</w:t>
      </w:r>
      <w:r w:rsidRPr="005D0A89">
        <w:rPr>
          <w:rFonts w:asciiTheme="minorHAnsi" w:hAnsiTheme="minorHAnsi" w:cstheme="minorHAnsi"/>
          <w:bCs/>
          <w:iCs/>
          <w:color w:val="000000"/>
          <w:sz w:val="22"/>
          <w:szCs w:val="22"/>
        </w:rPr>
        <w:t xml:space="preserve"> d’apporter la preuve :</w:t>
      </w:r>
    </w:p>
    <w:p w14:paraId="3847A860" w14:textId="6E1C466A" w:rsidR="005D0A89" w:rsidRPr="005D0A89" w:rsidRDefault="005D0A89" w:rsidP="005D0A89">
      <w:pPr>
        <w:pStyle w:val="Liste"/>
        <w:numPr>
          <w:ilvl w:val="0"/>
          <w:numId w:val="17"/>
        </w:numPr>
        <w:spacing w:before="100" w:beforeAutospacing="1" w:after="100" w:afterAutospacing="1"/>
        <w:contextualSpacing/>
        <w:jc w:val="both"/>
        <w:rPr>
          <w:rFonts w:asciiTheme="minorHAnsi" w:hAnsiTheme="minorHAnsi" w:cstheme="minorHAnsi"/>
          <w:bCs/>
          <w:iCs/>
          <w:color w:val="000000"/>
          <w:sz w:val="22"/>
          <w:szCs w:val="22"/>
        </w:rPr>
      </w:pPr>
      <w:r w:rsidRPr="005D0A89">
        <w:rPr>
          <w:rFonts w:asciiTheme="minorHAnsi" w:hAnsiTheme="minorHAnsi" w:cstheme="minorHAnsi"/>
          <w:bCs/>
          <w:iCs/>
          <w:color w:val="000000"/>
          <w:sz w:val="22"/>
          <w:szCs w:val="22"/>
        </w:rPr>
        <w:t>soit de faits présumant une discrimination ;</w:t>
      </w:r>
    </w:p>
    <w:p w14:paraId="30133162" w14:textId="4DC63356" w:rsidR="005D0A89" w:rsidRDefault="005D0A89" w:rsidP="005D0A89">
      <w:pPr>
        <w:pStyle w:val="Liste"/>
        <w:numPr>
          <w:ilvl w:val="0"/>
          <w:numId w:val="17"/>
        </w:numPr>
        <w:spacing w:before="100" w:beforeAutospacing="1" w:after="100" w:afterAutospacing="1"/>
        <w:contextualSpacing/>
        <w:jc w:val="both"/>
        <w:rPr>
          <w:rFonts w:asciiTheme="minorHAnsi" w:hAnsiTheme="minorHAnsi" w:cstheme="minorHAnsi"/>
          <w:bCs/>
          <w:iCs/>
          <w:color w:val="000000"/>
          <w:sz w:val="22"/>
          <w:szCs w:val="22"/>
        </w:rPr>
      </w:pPr>
      <w:r w:rsidRPr="005D0A89">
        <w:rPr>
          <w:rFonts w:asciiTheme="minorHAnsi" w:hAnsiTheme="minorHAnsi" w:cstheme="minorHAnsi"/>
          <w:bCs/>
          <w:iCs/>
          <w:color w:val="000000"/>
          <w:sz w:val="22"/>
          <w:szCs w:val="22"/>
        </w:rPr>
        <w:t>soit le refus de l’employeur de mettre en place des aménagements raisonnables.</w:t>
      </w:r>
    </w:p>
    <w:p w14:paraId="38ED0FAF" w14:textId="77777777" w:rsidR="005D0A89" w:rsidRPr="005D0A89" w:rsidRDefault="005D0A89" w:rsidP="005D0A89">
      <w:pPr>
        <w:pStyle w:val="Liste"/>
        <w:spacing w:before="100" w:beforeAutospacing="1" w:after="100" w:afterAutospacing="1"/>
        <w:ind w:left="720" w:firstLine="0"/>
        <w:contextualSpacing/>
        <w:jc w:val="both"/>
        <w:rPr>
          <w:rFonts w:asciiTheme="minorHAnsi" w:hAnsiTheme="minorHAnsi" w:cstheme="minorHAnsi"/>
          <w:bCs/>
          <w:iCs/>
          <w:color w:val="000000"/>
          <w:sz w:val="22"/>
          <w:szCs w:val="22"/>
        </w:rPr>
      </w:pPr>
    </w:p>
    <w:p w14:paraId="6B5A5384" w14:textId="04196AE5" w:rsidR="005D0A89" w:rsidRDefault="005D0A89" w:rsidP="005D0A89">
      <w:pPr>
        <w:pStyle w:val="Liste"/>
        <w:spacing w:before="100" w:beforeAutospacing="1" w:after="100" w:afterAutospacing="1"/>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Le </w:t>
      </w:r>
      <w:r w:rsidR="002B6192">
        <w:rPr>
          <w:rFonts w:asciiTheme="minorHAnsi" w:hAnsiTheme="minorHAnsi" w:cstheme="minorHAnsi"/>
          <w:bCs/>
          <w:iCs/>
          <w:color w:val="000000"/>
          <w:sz w:val="22"/>
          <w:szCs w:val="22"/>
        </w:rPr>
        <w:t>Tribunal</w:t>
      </w:r>
      <w:r w:rsidRPr="005D0A89">
        <w:rPr>
          <w:rFonts w:asciiTheme="minorHAnsi" w:hAnsiTheme="minorHAnsi" w:cstheme="minorHAnsi"/>
          <w:bCs/>
          <w:iCs/>
          <w:color w:val="000000"/>
          <w:sz w:val="22"/>
          <w:szCs w:val="22"/>
        </w:rPr>
        <w:t xml:space="preserve"> estime qu’il </w:t>
      </w:r>
      <w:r w:rsidR="00785971">
        <w:rPr>
          <w:rFonts w:asciiTheme="minorHAnsi" w:hAnsiTheme="minorHAnsi" w:cstheme="minorHAnsi"/>
          <w:bCs/>
          <w:iCs/>
          <w:color w:val="000000"/>
          <w:sz w:val="22"/>
          <w:szCs w:val="22"/>
        </w:rPr>
        <w:t xml:space="preserve">en </w:t>
      </w:r>
      <w:r w:rsidRPr="005D0A89">
        <w:rPr>
          <w:rFonts w:asciiTheme="minorHAnsi" w:hAnsiTheme="minorHAnsi" w:cstheme="minorHAnsi"/>
          <w:bCs/>
          <w:iCs/>
          <w:color w:val="000000"/>
          <w:sz w:val="22"/>
          <w:szCs w:val="22"/>
        </w:rPr>
        <w:t xml:space="preserve">apporte la preuve </w:t>
      </w:r>
      <w:r w:rsidR="00785971">
        <w:rPr>
          <w:rFonts w:asciiTheme="minorHAnsi" w:hAnsiTheme="minorHAnsi" w:cstheme="minorHAnsi"/>
          <w:bCs/>
          <w:iCs/>
          <w:color w:val="000000"/>
          <w:sz w:val="22"/>
          <w:szCs w:val="22"/>
        </w:rPr>
        <w:t xml:space="preserve">par les </w:t>
      </w:r>
      <w:r w:rsidRPr="005D0A89">
        <w:rPr>
          <w:rFonts w:asciiTheme="minorHAnsi" w:hAnsiTheme="minorHAnsi" w:cstheme="minorHAnsi"/>
          <w:bCs/>
          <w:iCs/>
          <w:color w:val="000000"/>
          <w:sz w:val="22"/>
          <w:szCs w:val="22"/>
        </w:rPr>
        <w:t>faits suivants :</w:t>
      </w:r>
    </w:p>
    <w:p w14:paraId="4E284540" w14:textId="532FA5DC" w:rsidR="00016A1E" w:rsidRPr="000076E3" w:rsidRDefault="002B4581" w:rsidP="000076E3">
      <w:pPr>
        <w:pStyle w:val="Liste"/>
        <w:numPr>
          <w:ilvl w:val="0"/>
          <w:numId w:val="27"/>
        </w:numPr>
        <w:spacing w:before="100" w:beforeAutospacing="1" w:after="100" w:afterAutospacing="1"/>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le refus d’aménagement raisonnable (mi-temps médical) est fondé exclusivement sur le prescrit d’une CCT </w:t>
      </w:r>
      <w:r w:rsidR="000076E3">
        <w:rPr>
          <w:rFonts w:asciiTheme="minorHAnsi" w:hAnsiTheme="minorHAnsi" w:cstheme="minorHAnsi"/>
          <w:bCs/>
          <w:iCs/>
          <w:color w:val="000000"/>
          <w:sz w:val="22"/>
          <w:szCs w:val="22"/>
        </w:rPr>
        <w:t xml:space="preserve">(apparemment neutre) </w:t>
      </w:r>
      <w:r>
        <w:rPr>
          <w:rFonts w:asciiTheme="minorHAnsi" w:hAnsiTheme="minorHAnsi" w:cstheme="minorHAnsi"/>
          <w:bCs/>
          <w:iCs/>
          <w:color w:val="000000"/>
          <w:sz w:val="22"/>
          <w:szCs w:val="22"/>
        </w:rPr>
        <w:t xml:space="preserve">et non </w:t>
      </w:r>
      <w:r w:rsidR="00A82B53">
        <w:rPr>
          <w:rFonts w:asciiTheme="minorHAnsi" w:hAnsiTheme="minorHAnsi" w:cstheme="minorHAnsi"/>
          <w:bCs/>
          <w:iCs/>
          <w:color w:val="000000"/>
          <w:sz w:val="22"/>
          <w:szCs w:val="22"/>
        </w:rPr>
        <w:t>sur base d’une analyse concrète des besoins de la personne handicapée</w:t>
      </w:r>
      <w:r w:rsidR="00052542">
        <w:rPr>
          <w:rFonts w:asciiTheme="minorHAnsi" w:hAnsiTheme="minorHAnsi" w:cstheme="minorHAnsi"/>
          <w:bCs/>
          <w:iCs/>
          <w:color w:val="000000"/>
          <w:sz w:val="22"/>
          <w:szCs w:val="22"/>
        </w:rPr>
        <w:t xml:space="preserve"> (refus du </w:t>
      </w:r>
      <w:r w:rsidR="0083276A">
        <w:rPr>
          <w:rFonts w:asciiTheme="minorHAnsi" w:hAnsiTheme="minorHAnsi" w:cstheme="minorHAnsi"/>
          <w:bCs/>
          <w:iCs/>
          <w:color w:val="000000"/>
          <w:sz w:val="22"/>
          <w:szCs w:val="22"/>
        </w:rPr>
        <w:t>9 juin 2021)</w:t>
      </w:r>
      <w:r w:rsidR="00F540D4">
        <w:rPr>
          <w:rFonts w:asciiTheme="minorHAnsi" w:hAnsiTheme="minorHAnsi" w:cstheme="minorHAnsi"/>
          <w:bCs/>
          <w:iCs/>
          <w:color w:val="000000"/>
          <w:sz w:val="22"/>
          <w:szCs w:val="22"/>
        </w:rPr>
        <w:t>,</w:t>
      </w:r>
    </w:p>
    <w:p w14:paraId="2415FB68" w14:textId="3B0AE952" w:rsidR="00A82B53" w:rsidRDefault="003E7068" w:rsidP="002B4581">
      <w:pPr>
        <w:pStyle w:val="Liste"/>
        <w:numPr>
          <w:ilvl w:val="0"/>
          <w:numId w:val="27"/>
        </w:numPr>
        <w:spacing w:before="100" w:beforeAutospacing="1" w:after="100" w:afterAutospacing="1"/>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le médecin-inspecteur du travail confirme que le </w:t>
      </w:r>
      <w:r w:rsidR="0085156A">
        <w:rPr>
          <w:rFonts w:asciiTheme="minorHAnsi" w:hAnsiTheme="minorHAnsi" w:cstheme="minorHAnsi"/>
          <w:bCs/>
          <w:iCs/>
          <w:color w:val="000000"/>
          <w:sz w:val="22"/>
          <w:szCs w:val="22"/>
        </w:rPr>
        <w:t>conseiller en prévention-</w:t>
      </w:r>
      <w:r>
        <w:rPr>
          <w:rFonts w:asciiTheme="minorHAnsi" w:hAnsiTheme="minorHAnsi" w:cstheme="minorHAnsi"/>
          <w:bCs/>
          <w:iCs/>
          <w:color w:val="000000"/>
          <w:sz w:val="22"/>
          <w:szCs w:val="22"/>
        </w:rPr>
        <w:t xml:space="preserve">médecin du </w:t>
      </w:r>
      <w:r w:rsidR="0085156A">
        <w:rPr>
          <w:rFonts w:asciiTheme="minorHAnsi" w:hAnsiTheme="minorHAnsi" w:cstheme="minorHAnsi"/>
          <w:bCs/>
          <w:iCs/>
          <w:color w:val="000000"/>
          <w:sz w:val="22"/>
          <w:szCs w:val="22"/>
        </w:rPr>
        <w:t>travail</w:t>
      </w:r>
      <w:r w:rsidR="00C73979">
        <w:rPr>
          <w:rFonts w:asciiTheme="minorHAnsi" w:hAnsiTheme="minorHAnsi" w:cstheme="minorHAnsi"/>
          <w:bCs/>
          <w:iCs/>
          <w:color w:val="000000"/>
          <w:sz w:val="22"/>
          <w:szCs w:val="22"/>
        </w:rPr>
        <w:t xml:space="preserve">, suite à la deuxième consultation de Monsieur </w:t>
      </w:r>
      <w:r w:rsidR="00AC7907">
        <w:rPr>
          <w:rFonts w:asciiTheme="minorHAnsi" w:hAnsiTheme="minorHAnsi" w:cstheme="minorHAnsi"/>
          <w:bCs/>
          <w:iCs/>
          <w:color w:val="000000"/>
          <w:sz w:val="22"/>
          <w:szCs w:val="22"/>
        </w:rPr>
        <w:t>P</w:t>
      </w:r>
      <w:r w:rsidR="00C73979">
        <w:rPr>
          <w:rFonts w:asciiTheme="minorHAnsi" w:hAnsiTheme="minorHAnsi" w:cstheme="minorHAnsi"/>
          <w:bCs/>
          <w:iCs/>
          <w:color w:val="000000"/>
          <w:sz w:val="22"/>
          <w:szCs w:val="22"/>
        </w:rPr>
        <w:t xml:space="preserve">, </w:t>
      </w:r>
      <w:r w:rsidR="00721C5E">
        <w:rPr>
          <w:rFonts w:asciiTheme="minorHAnsi" w:hAnsiTheme="minorHAnsi" w:cstheme="minorHAnsi"/>
          <w:bCs/>
          <w:iCs/>
          <w:color w:val="000000"/>
          <w:sz w:val="22"/>
          <w:szCs w:val="22"/>
        </w:rPr>
        <w:t xml:space="preserve">l’a déclaré apte </w:t>
      </w:r>
      <w:r w:rsidR="00A42DF4">
        <w:rPr>
          <w:rFonts w:asciiTheme="minorHAnsi" w:hAnsiTheme="minorHAnsi" w:cstheme="minorHAnsi"/>
          <w:bCs/>
          <w:iCs/>
          <w:color w:val="000000"/>
          <w:sz w:val="22"/>
          <w:szCs w:val="22"/>
        </w:rPr>
        <w:t>car « </w:t>
      </w:r>
      <w:r w:rsidR="00A42DF4" w:rsidRPr="00A42DF4">
        <w:rPr>
          <w:rFonts w:asciiTheme="minorHAnsi" w:hAnsiTheme="minorHAnsi" w:cstheme="minorHAnsi"/>
          <w:bCs/>
          <w:i/>
          <w:color w:val="000000"/>
          <w:sz w:val="22"/>
          <w:szCs w:val="22"/>
        </w:rPr>
        <w:t>il est fréquent que les médecins du travail qui connaissent les réticences d’un employeur à l’égard des adaptations de poste préfèrent déclarer les travailleurs ‘aptes’ afin d’éviter les risques de licenciement ou de stigmatisation sur la perte de capacité</w:t>
      </w:r>
      <w:r w:rsidR="00A42DF4">
        <w:rPr>
          <w:rFonts w:asciiTheme="minorHAnsi" w:hAnsiTheme="minorHAnsi" w:cstheme="minorHAnsi"/>
          <w:bCs/>
          <w:iCs/>
          <w:color w:val="000000"/>
          <w:sz w:val="22"/>
          <w:szCs w:val="22"/>
        </w:rPr>
        <w:t>. » (courrier du 11 février 2022)</w:t>
      </w:r>
      <w:r w:rsidR="00F540D4">
        <w:rPr>
          <w:rFonts w:asciiTheme="minorHAnsi" w:hAnsiTheme="minorHAnsi" w:cstheme="minorHAnsi"/>
          <w:bCs/>
          <w:iCs/>
          <w:color w:val="000000"/>
          <w:sz w:val="22"/>
          <w:szCs w:val="22"/>
        </w:rPr>
        <w:t>.</w:t>
      </w:r>
    </w:p>
    <w:p w14:paraId="64D47DE2" w14:textId="77777777" w:rsidR="00302015" w:rsidRDefault="00302015" w:rsidP="00302015">
      <w:pPr>
        <w:pStyle w:val="Liste"/>
        <w:spacing w:before="100" w:beforeAutospacing="1" w:after="100" w:afterAutospacing="1"/>
        <w:contextualSpacing/>
        <w:jc w:val="both"/>
        <w:rPr>
          <w:rFonts w:asciiTheme="minorHAnsi" w:hAnsiTheme="minorHAnsi" w:cstheme="minorHAnsi"/>
          <w:sz w:val="22"/>
          <w:szCs w:val="22"/>
        </w:rPr>
      </w:pPr>
    </w:p>
    <w:p w14:paraId="6F7E5A78" w14:textId="1F659C0E" w:rsidR="00302015" w:rsidRDefault="00302015" w:rsidP="00FB4541">
      <w:pPr>
        <w:pStyle w:val="Liste"/>
        <w:spacing w:before="100" w:beforeAutospacing="1" w:after="100" w:afterAutospacing="1"/>
        <w:contextualSpacing/>
        <w:jc w:val="both"/>
        <w:rPr>
          <w:rFonts w:asciiTheme="minorHAnsi" w:hAnsiTheme="minorHAnsi" w:cstheme="minorHAnsi"/>
          <w:sz w:val="22"/>
          <w:szCs w:val="22"/>
        </w:rPr>
      </w:pPr>
      <w:r w:rsidRPr="006E3CAB">
        <w:rPr>
          <w:rFonts w:asciiTheme="minorHAnsi" w:hAnsiTheme="minorHAnsi" w:cstheme="minorHAnsi"/>
          <w:sz w:val="22"/>
          <w:szCs w:val="22"/>
        </w:rPr>
        <w:t xml:space="preserve">Comme l’expose le </w:t>
      </w:r>
      <w:r w:rsidR="00FB4541">
        <w:rPr>
          <w:rFonts w:asciiTheme="minorHAnsi" w:hAnsiTheme="minorHAnsi" w:cstheme="minorHAnsi"/>
          <w:sz w:val="22"/>
          <w:szCs w:val="22"/>
        </w:rPr>
        <w:t>requérant</w:t>
      </w:r>
      <w:r w:rsidRPr="006E3CAB">
        <w:rPr>
          <w:rFonts w:asciiTheme="minorHAnsi" w:hAnsiTheme="minorHAnsi" w:cstheme="minorHAnsi"/>
          <w:sz w:val="22"/>
          <w:szCs w:val="22"/>
        </w:rPr>
        <w:t xml:space="preserve"> en termes de conclusions, la situation est surréaliste.</w:t>
      </w:r>
      <w:r>
        <w:rPr>
          <w:rFonts w:asciiTheme="minorHAnsi" w:hAnsiTheme="minorHAnsi" w:cstheme="minorHAnsi"/>
          <w:sz w:val="22"/>
          <w:szCs w:val="22"/>
        </w:rPr>
        <w:t xml:space="preserve"> </w:t>
      </w:r>
    </w:p>
    <w:p w14:paraId="083852B8" w14:textId="77777777" w:rsidR="00302015" w:rsidRDefault="00302015" w:rsidP="00302015">
      <w:pPr>
        <w:pStyle w:val="Liste"/>
        <w:spacing w:before="100" w:beforeAutospacing="1" w:after="100" w:afterAutospacing="1"/>
        <w:contextualSpacing/>
        <w:jc w:val="both"/>
        <w:rPr>
          <w:rFonts w:asciiTheme="minorHAnsi" w:hAnsiTheme="minorHAnsi" w:cstheme="minorHAnsi"/>
          <w:sz w:val="22"/>
          <w:szCs w:val="22"/>
        </w:rPr>
      </w:pPr>
    </w:p>
    <w:p w14:paraId="3AF2E896" w14:textId="6F8194FC" w:rsidR="00302015" w:rsidRPr="00302015" w:rsidRDefault="00302015" w:rsidP="00302015">
      <w:pPr>
        <w:pStyle w:val="Liste"/>
        <w:spacing w:before="100" w:beforeAutospacing="1" w:after="100" w:afterAutospacing="1"/>
        <w:ind w:left="0" w:firstLine="0"/>
        <w:contextualSpacing/>
        <w:jc w:val="both"/>
        <w:rPr>
          <w:rFonts w:asciiTheme="minorHAnsi" w:hAnsiTheme="minorHAnsi" w:cstheme="minorHAnsi"/>
          <w:sz w:val="22"/>
          <w:szCs w:val="22"/>
        </w:rPr>
      </w:pPr>
      <w:r w:rsidRPr="00302015">
        <w:rPr>
          <w:rFonts w:asciiTheme="minorHAnsi" w:hAnsiTheme="minorHAnsi" w:cstheme="minorHAnsi"/>
          <w:bCs/>
          <w:sz w:val="22"/>
          <w:szCs w:val="22"/>
        </w:rPr>
        <w:t xml:space="preserve">Dans ce large contexte, le président du tribunal estime que Monsieur </w:t>
      </w:r>
      <w:r w:rsidR="00AC7907">
        <w:rPr>
          <w:rFonts w:asciiTheme="minorHAnsi" w:hAnsiTheme="minorHAnsi" w:cstheme="minorHAnsi"/>
          <w:bCs/>
          <w:sz w:val="22"/>
          <w:szCs w:val="22"/>
        </w:rPr>
        <w:t>P</w:t>
      </w:r>
      <w:r w:rsidRPr="00302015">
        <w:rPr>
          <w:rFonts w:asciiTheme="minorHAnsi" w:hAnsiTheme="minorHAnsi" w:cstheme="minorHAnsi"/>
          <w:bCs/>
          <w:sz w:val="22"/>
          <w:szCs w:val="22"/>
        </w:rPr>
        <w:t xml:space="preserve"> établit des faits qui permettent de présumer l'existence de discrimination fondée sur un des critères protégés (handicap).</w:t>
      </w:r>
    </w:p>
    <w:p w14:paraId="4A390714" w14:textId="77777777" w:rsidR="00F96D18" w:rsidRDefault="00F96D18" w:rsidP="005D0A89">
      <w:pPr>
        <w:pStyle w:val="Liste"/>
        <w:spacing w:before="100" w:beforeAutospacing="1" w:after="100" w:afterAutospacing="1"/>
        <w:contextualSpacing/>
        <w:jc w:val="both"/>
        <w:rPr>
          <w:rFonts w:asciiTheme="minorHAnsi" w:hAnsiTheme="minorHAnsi" w:cstheme="minorHAnsi"/>
          <w:bCs/>
          <w:iCs/>
          <w:color w:val="000000"/>
          <w:sz w:val="22"/>
          <w:szCs w:val="22"/>
        </w:rPr>
      </w:pPr>
    </w:p>
    <w:p w14:paraId="2BF7EEC5" w14:textId="77777777" w:rsidR="004F04FA" w:rsidRDefault="000076E3" w:rsidP="000076E3">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Le handicap et le refus de mettre en place des aménagements raisonnables ayant été démontrés, la charge de la preuve incombe désormais à l’OTW, à qui il revient de démontrer </w:t>
      </w:r>
      <w:r w:rsidR="001F1358">
        <w:rPr>
          <w:rFonts w:asciiTheme="minorHAnsi" w:hAnsiTheme="minorHAnsi" w:cstheme="minorHAnsi"/>
          <w:bCs/>
          <w:iCs/>
          <w:color w:val="000000"/>
          <w:sz w:val="22"/>
          <w:szCs w:val="22"/>
        </w:rPr>
        <w:t xml:space="preserve">que l’aménagement entrainait pour lui une charge disproportionnée dans sa mise en place. </w:t>
      </w:r>
    </w:p>
    <w:p w14:paraId="65E3C97C" w14:textId="77777777" w:rsidR="004F04FA" w:rsidRDefault="004F04FA" w:rsidP="000076E3">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p>
    <w:p w14:paraId="1CEA17DD" w14:textId="1A0DBB75" w:rsidR="000076E3" w:rsidRDefault="004F04FA" w:rsidP="000076E3">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C’est donc à tort que l’OTW se défend en avançant </w:t>
      </w:r>
      <w:r w:rsidR="009F4513">
        <w:rPr>
          <w:rFonts w:asciiTheme="minorHAnsi" w:hAnsiTheme="minorHAnsi" w:cstheme="minorHAnsi"/>
          <w:bCs/>
          <w:iCs/>
          <w:color w:val="000000"/>
          <w:sz w:val="22"/>
          <w:szCs w:val="22"/>
        </w:rPr>
        <w:t>que la pratique retenue est o</w:t>
      </w:r>
      <w:r>
        <w:rPr>
          <w:rFonts w:asciiTheme="minorHAnsi" w:hAnsiTheme="minorHAnsi" w:cstheme="minorHAnsi"/>
          <w:bCs/>
          <w:iCs/>
          <w:color w:val="000000"/>
          <w:sz w:val="22"/>
          <w:szCs w:val="22"/>
        </w:rPr>
        <w:t>bjectivement justifié</w:t>
      </w:r>
      <w:r w:rsidR="009F4513">
        <w:rPr>
          <w:rFonts w:asciiTheme="minorHAnsi" w:hAnsiTheme="minorHAnsi" w:cstheme="minorHAnsi"/>
          <w:bCs/>
          <w:iCs/>
          <w:color w:val="000000"/>
          <w:sz w:val="22"/>
          <w:szCs w:val="22"/>
        </w:rPr>
        <w:t>e</w:t>
      </w:r>
      <w:r w:rsidR="00983499">
        <w:rPr>
          <w:rFonts w:asciiTheme="minorHAnsi" w:hAnsiTheme="minorHAnsi" w:cstheme="minorHAnsi"/>
          <w:bCs/>
          <w:iCs/>
          <w:color w:val="000000"/>
          <w:sz w:val="22"/>
          <w:szCs w:val="22"/>
        </w:rPr>
        <w:t xml:space="preserve"> par un but légitime et </w:t>
      </w:r>
      <w:r w:rsidR="009F4513">
        <w:rPr>
          <w:rFonts w:asciiTheme="minorHAnsi" w:hAnsiTheme="minorHAnsi" w:cstheme="minorHAnsi"/>
          <w:bCs/>
          <w:iCs/>
          <w:color w:val="000000"/>
          <w:sz w:val="22"/>
          <w:szCs w:val="22"/>
        </w:rPr>
        <w:t xml:space="preserve">que </w:t>
      </w:r>
      <w:r w:rsidR="00983499">
        <w:rPr>
          <w:rFonts w:asciiTheme="minorHAnsi" w:hAnsiTheme="minorHAnsi" w:cstheme="minorHAnsi"/>
          <w:bCs/>
          <w:iCs/>
          <w:color w:val="000000"/>
          <w:sz w:val="22"/>
          <w:szCs w:val="22"/>
        </w:rPr>
        <w:t>les moyens de réaliser cet objectif</w:t>
      </w:r>
      <w:r w:rsidR="009F4513">
        <w:rPr>
          <w:rFonts w:asciiTheme="minorHAnsi" w:hAnsiTheme="minorHAnsi" w:cstheme="minorHAnsi"/>
          <w:bCs/>
          <w:iCs/>
          <w:color w:val="000000"/>
          <w:sz w:val="22"/>
          <w:szCs w:val="22"/>
        </w:rPr>
        <w:t xml:space="preserve"> sont justifiés et nécessaires.</w:t>
      </w:r>
      <w:r w:rsidR="00523769">
        <w:rPr>
          <w:rFonts w:asciiTheme="minorHAnsi" w:hAnsiTheme="minorHAnsi" w:cstheme="minorHAnsi"/>
          <w:bCs/>
          <w:iCs/>
          <w:color w:val="000000"/>
          <w:sz w:val="22"/>
          <w:szCs w:val="22"/>
        </w:rPr>
        <w:t xml:space="preserve"> La genèse et les contours de la convention collective</w:t>
      </w:r>
      <w:r w:rsidR="00CB7911">
        <w:rPr>
          <w:rFonts w:asciiTheme="minorHAnsi" w:hAnsiTheme="minorHAnsi" w:cstheme="minorHAnsi"/>
          <w:bCs/>
          <w:iCs/>
          <w:color w:val="000000"/>
          <w:sz w:val="22"/>
          <w:szCs w:val="22"/>
        </w:rPr>
        <w:t xml:space="preserve"> ne sont pas de nature à </w:t>
      </w:r>
      <w:r w:rsidR="000A1198">
        <w:rPr>
          <w:rFonts w:asciiTheme="minorHAnsi" w:hAnsiTheme="minorHAnsi" w:cstheme="minorHAnsi"/>
          <w:bCs/>
          <w:iCs/>
          <w:color w:val="000000"/>
          <w:sz w:val="22"/>
          <w:szCs w:val="22"/>
        </w:rPr>
        <w:t>asseoir l’exception.</w:t>
      </w:r>
      <w:r w:rsidR="009F4513">
        <w:rPr>
          <w:rFonts w:asciiTheme="minorHAnsi" w:hAnsiTheme="minorHAnsi" w:cstheme="minorHAnsi"/>
          <w:bCs/>
          <w:iCs/>
          <w:color w:val="000000"/>
          <w:sz w:val="22"/>
          <w:szCs w:val="22"/>
        </w:rPr>
        <w:t xml:space="preserve"> </w:t>
      </w:r>
      <w:r w:rsidR="009B0C14">
        <w:rPr>
          <w:rFonts w:asciiTheme="minorHAnsi" w:hAnsiTheme="minorHAnsi" w:cstheme="minorHAnsi"/>
          <w:bCs/>
          <w:iCs/>
          <w:color w:val="000000"/>
          <w:sz w:val="22"/>
          <w:szCs w:val="22"/>
        </w:rPr>
        <w:t>Seule la démonstration d’une charge disproportionnée peut l’exempter de mettre en place un aménagement raisonnable.</w:t>
      </w:r>
    </w:p>
    <w:p w14:paraId="67F5E3EF" w14:textId="77777777" w:rsidR="00057831" w:rsidRDefault="00057831" w:rsidP="000076E3">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p>
    <w:p w14:paraId="402E2973" w14:textId="4181AD7E" w:rsidR="00057831" w:rsidRDefault="00057831" w:rsidP="000076E3">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A cette fin, l’OTW retient deux arguments :</w:t>
      </w:r>
    </w:p>
    <w:p w14:paraId="34C543D0" w14:textId="77777777" w:rsidR="000076E3" w:rsidRDefault="000076E3"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p>
    <w:p w14:paraId="54D969CC" w14:textId="26C776EF" w:rsidR="00057831" w:rsidRPr="00057831" w:rsidRDefault="00057831" w:rsidP="00057831">
      <w:pPr>
        <w:pStyle w:val="Liste"/>
        <w:numPr>
          <w:ilvl w:val="0"/>
          <w:numId w:val="30"/>
        </w:numPr>
        <w:spacing w:before="100" w:beforeAutospacing="1" w:after="100" w:afterAutospacing="1"/>
        <w:contextualSpacing/>
        <w:jc w:val="both"/>
        <w:rPr>
          <w:rFonts w:asciiTheme="minorHAnsi" w:hAnsiTheme="minorHAnsi" w:cstheme="minorHAnsi"/>
          <w:bCs/>
          <w:i/>
          <w:color w:val="000000"/>
          <w:sz w:val="22"/>
          <w:szCs w:val="22"/>
        </w:rPr>
      </w:pPr>
      <w:r w:rsidRPr="00057831">
        <w:rPr>
          <w:rFonts w:asciiTheme="minorHAnsi" w:hAnsiTheme="minorHAnsi" w:cstheme="minorHAnsi"/>
          <w:bCs/>
          <w:i/>
          <w:color w:val="000000"/>
          <w:sz w:val="22"/>
          <w:szCs w:val="22"/>
        </w:rPr>
        <w:t>L</w:t>
      </w:r>
      <w:r w:rsidR="00F24C16" w:rsidRPr="00057831">
        <w:rPr>
          <w:rFonts w:asciiTheme="minorHAnsi" w:hAnsiTheme="minorHAnsi" w:cstheme="minorHAnsi"/>
          <w:bCs/>
          <w:i/>
          <w:color w:val="000000"/>
          <w:sz w:val="22"/>
          <w:szCs w:val="22"/>
        </w:rPr>
        <w:t xml:space="preserve">’aménagement sollicité par Monsieur </w:t>
      </w:r>
      <w:r w:rsidR="00AC7907">
        <w:rPr>
          <w:rFonts w:asciiTheme="minorHAnsi" w:hAnsiTheme="minorHAnsi" w:cstheme="minorHAnsi"/>
          <w:bCs/>
          <w:i/>
          <w:color w:val="000000"/>
          <w:sz w:val="22"/>
          <w:szCs w:val="22"/>
        </w:rPr>
        <w:t>P</w:t>
      </w:r>
      <w:r w:rsidR="00F24C16" w:rsidRPr="00057831">
        <w:rPr>
          <w:rFonts w:asciiTheme="minorHAnsi" w:hAnsiTheme="minorHAnsi" w:cstheme="minorHAnsi"/>
          <w:bCs/>
          <w:i/>
          <w:color w:val="000000"/>
          <w:sz w:val="22"/>
          <w:szCs w:val="22"/>
        </w:rPr>
        <w:t xml:space="preserve"> est illégal </w:t>
      </w:r>
    </w:p>
    <w:p w14:paraId="58553A8B" w14:textId="77777777" w:rsidR="00057831" w:rsidRDefault="00057831" w:rsidP="00057831">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p>
    <w:p w14:paraId="16E539B8" w14:textId="143D553C" w:rsidR="00627F08" w:rsidRDefault="00057831" w:rsidP="00057831">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Il le serait</w:t>
      </w:r>
      <w:r w:rsidR="00BE4D62">
        <w:rPr>
          <w:rFonts w:asciiTheme="minorHAnsi" w:hAnsiTheme="minorHAnsi" w:cstheme="minorHAnsi"/>
          <w:bCs/>
          <w:iCs/>
          <w:color w:val="000000"/>
          <w:sz w:val="22"/>
          <w:szCs w:val="22"/>
        </w:rPr>
        <w:t xml:space="preserve"> </w:t>
      </w:r>
      <w:r w:rsidR="00F24C16">
        <w:rPr>
          <w:rFonts w:asciiTheme="minorHAnsi" w:hAnsiTheme="minorHAnsi" w:cstheme="minorHAnsi"/>
          <w:bCs/>
          <w:iCs/>
          <w:color w:val="000000"/>
          <w:sz w:val="22"/>
          <w:szCs w:val="22"/>
        </w:rPr>
        <w:t>dans la mesure où il vient en contra</w:t>
      </w:r>
      <w:r w:rsidR="00DD1542">
        <w:rPr>
          <w:rFonts w:asciiTheme="minorHAnsi" w:hAnsiTheme="minorHAnsi" w:cstheme="minorHAnsi"/>
          <w:bCs/>
          <w:iCs/>
          <w:color w:val="000000"/>
          <w:sz w:val="22"/>
          <w:szCs w:val="22"/>
        </w:rPr>
        <w:t xml:space="preserve">diction avec le prescrit de la Convention collective </w:t>
      </w:r>
      <w:r w:rsidR="002009FB">
        <w:rPr>
          <w:rFonts w:asciiTheme="minorHAnsi" w:hAnsiTheme="minorHAnsi" w:cstheme="minorHAnsi"/>
          <w:bCs/>
          <w:iCs/>
          <w:color w:val="000000"/>
          <w:sz w:val="22"/>
          <w:szCs w:val="22"/>
        </w:rPr>
        <w:t xml:space="preserve">sectorielle </w:t>
      </w:r>
      <w:r w:rsidR="00DD1542">
        <w:rPr>
          <w:rFonts w:asciiTheme="minorHAnsi" w:hAnsiTheme="minorHAnsi" w:cstheme="minorHAnsi"/>
          <w:bCs/>
          <w:iCs/>
          <w:color w:val="000000"/>
          <w:sz w:val="22"/>
          <w:szCs w:val="22"/>
        </w:rPr>
        <w:t xml:space="preserve">du 30 juin 2008 ayant de surcroit été rendue obligatoire par arrêté royal. </w:t>
      </w:r>
      <w:r w:rsidR="005D0A89" w:rsidRPr="005D0A89">
        <w:rPr>
          <w:rFonts w:asciiTheme="minorHAnsi" w:hAnsiTheme="minorHAnsi" w:cstheme="minorHAnsi"/>
          <w:bCs/>
          <w:iCs/>
          <w:color w:val="000000"/>
          <w:sz w:val="22"/>
          <w:szCs w:val="22"/>
        </w:rPr>
        <w:t xml:space="preserve"> </w:t>
      </w:r>
      <w:r w:rsidR="00627F08">
        <w:rPr>
          <w:rFonts w:asciiTheme="minorHAnsi" w:hAnsiTheme="minorHAnsi" w:cstheme="minorHAnsi"/>
          <w:bCs/>
          <w:iCs/>
          <w:color w:val="000000"/>
          <w:sz w:val="22"/>
          <w:szCs w:val="22"/>
        </w:rPr>
        <w:t>Son article 4 établit que</w:t>
      </w:r>
      <w:r w:rsidR="00BE4D62">
        <w:rPr>
          <w:rFonts w:asciiTheme="minorHAnsi" w:hAnsiTheme="minorHAnsi" w:cstheme="minorHAnsi"/>
          <w:bCs/>
          <w:iCs/>
          <w:color w:val="000000"/>
          <w:sz w:val="22"/>
          <w:szCs w:val="22"/>
        </w:rPr>
        <w:t> :</w:t>
      </w:r>
    </w:p>
    <w:p w14:paraId="5BE608CB" w14:textId="43E72E3A" w:rsidR="00F24C16" w:rsidRDefault="00627F08" w:rsidP="00627F08">
      <w:pPr>
        <w:pStyle w:val="Liste"/>
        <w:spacing w:before="100" w:beforeAutospacing="1" w:after="100" w:afterAutospacing="1"/>
        <w:ind w:left="567" w:firstLine="0"/>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w:t>
      </w:r>
      <w:r w:rsidRPr="00627F08">
        <w:rPr>
          <w:rFonts w:asciiTheme="minorHAnsi" w:hAnsiTheme="minorHAnsi" w:cstheme="minorHAnsi"/>
          <w:bCs/>
          <w:i/>
          <w:color w:val="000000"/>
          <w:sz w:val="22"/>
          <w:szCs w:val="22"/>
        </w:rPr>
        <w:t>le travail dans un régime de prestations à mi-temps peut être autorisé pour une durée maximale de trois mois en vue d’une reprise de prestations à temps plein</w:t>
      </w:r>
      <w:r>
        <w:rPr>
          <w:rFonts w:asciiTheme="minorHAnsi" w:hAnsiTheme="minorHAnsi" w:cstheme="minorHAnsi"/>
          <w:bCs/>
          <w:i/>
          <w:color w:val="000000"/>
          <w:sz w:val="22"/>
          <w:szCs w:val="22"/>
        </w:rPr>
        <w:t>.</w:t>
      </w:r>
      <w:r w:rsidRPr="00627F08">
        <w:rPr>
          <w:rFonts w:asciiTheme="minorHAnsi" w:hAnsiTheme="minorHAnsi" w:cstheme="minorHAnsi"/>
          <w:bCs/>
          <w:i/>
          <w:color w:val="000000"/>
          <w:sz w:val="22"/>
          <w:szCs w:val="22"/>
        </w:rPr>
        <w:t xml:space="preserve"> Cette durée de trois mois peut être exceptionnellement prolongée jusqu’à six mois sur demande motivée du travailleur moyennant l’avis des médecins traitants, de la mutuelle et du travail</w:t>
      </w:r>
      <w:r>
        <w:rPr>
          <w:rFonts w:asciiTheme="minorHAnsi" w:hAnsiTheme="minorHAnsi" w:cstheme="minorHAnsi"/>
          <w:bCs/>
          <w:iCs/>
          <w:color w:val="000000"/>
          <w:sz w:val="22"/>
          <w:szCs w:val="22"/>
        </w:rPr>
        <w:t> ».</w:t>
      </w:r>
    </w:p>
    <w:p w14:paraId="5C5B059B" w14:textId="77777777" w:rsidR="00F24C16" w:rsidRDefault="00F24C16"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p>
    <w:p w14:paraId="282A9D02" w14:textId="31688062" w:rsidR="004A16D3" w:rsidRDefault="004A16D3"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L’article 5 ajoute :</w:t>
      </w:r>
    </w:p>
    <w:p w14:paraId="7AB0B4DA" w14:textId="082AF009" w:rsidR="004A16D3" w:rsidRDefault="004A16D3" w:rsidP="004A16D3">
      <w:pPr>
        <w:pStyle w:val="Liste"/>
        <w:spacing w:before="100" w:beforeAutospacing="1" w:after="100" w:afterAutospacing="1"/>
        <w:ind w:left="567" w:firstLine="0"/>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w:t>
      </w:r>
      <w:r w:rsidRPr="004A16D3">
        <w:rPr>
          <w:rFonts w:asciiTheme="minorHAnsi" w:hAnsiTheme="minorHAnsi" w:cstheme="minorHAnsi"/>
          <w:bCs/>
          <w:i/>
          <w:color w:val="000000"/>
          <w:sz w:val="22"/>
          <w:szCs w:val="22"/>
        </w:rPr>
        <w:t>Au terme des périodes de mi-temps médical visées à l’article 4, le travailleur reprend ses prestations à temps plein ou reste dans un régime de travail à temps partiel moyennant une adaptation de son contrat de travail</w:t>
      </w:r>
      <w:r>
        <w:rPr>
          <w:rFonts w:asciiTheme="minorHAnsi" w:hAnsiTheme="minorHAnsi" w:cstheme="minorHAnsi"/>
          <w:bCs/>
          <w:iCs/>
          <w:color w:val="000000"/>
          <w:sz w:val="22"/>
          <w:szCs w:val="22"/>
        </w:rPr>
        <w:t> ».</w:t>
      </w:r>
    </w:p>
    <w:p w14:paraId="16ECDD3F" w14:textId="77777777" w:rsidR="004A16D3" w:rsidRDefault="004A16D3" w:rsidP="004A16D3">
      <w:pPr>
        <w:pStyle w:val="Liste"/>
        <w:spacing w:before="100" w:beforeAutospacing="1" w:after="100" w:afterAutospacing="1"/>
        <w:contextualSpacing/>
        <w:jc w:val="both"/>
        <w:rPr>
          <w:rFonts w:asciiTheme="minorHAnsi" w:hAnsiTheme="minorHAnsi" w:cstheme="minorHAnsi"/>
          <w:bCs/>
          <w:iCs/>
          <w:color w:val="000000"/>
          <w:sz w:val="22"/>
          <w:szCs w:val="22"/>
        </w:rPr>
      </w:pPr>
    </w:p>
    <w:p w14:paraId="1E3F0DBD" w14:textId="5C1B0A7D" w:rsidR="004A16D3" w:rsidRDefault="004A16D3" w:rsidP="004A16D3">
      <w:pPr>
        <w:pStyle w:val="Liste"/>
        <w:spacing w:before="100" w:beforeAutospacing="1" w:after="100" w:afterAutospacing="1"/>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Enfin, l’article 7 énonce que :</w:t>
      </w:r>
    </w:p>
    <w:p w14:paraId="62CBE99C" w14:textId="50922DAC" w:rsidR="004A16D3" w:rsidRDefault="004A16D3" w:rsidP="00AC55A7">
      <w:pPr>
        <w:pStyle w:val="Liste"/>
        <w:spacing w:before="100" w:beforeAutospacing="1" w:after="100" w:afterAutospacing="1"/>
        <w:ind w:firstLine="284"/>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w:t>
      </w:r>
      <w:r w:rsidR="00AC55A7" w:rsidRPr="00AC55A7">
        <w:rPr>
          <w:rFonts w:asciiTheme="minorHAnsi" w:hAnsiTheme="minorHAnsi" w:cstheme="minorHAnsi"/>
          <w:bCs/>
          <w:i/>
          <w:color w:val="000000"/>
          <w:sz w:val="22"/>
          <w:szCs w:val="22"/>
        </w:rPr>
        <w:t>Dans les services du mouvement, les prestations sont exécutées par journée complète</w:t>
      </w:r>
      <w:r w:rsidR="00AC55A7">
        <w:rPr>
          <w:rFonts w:asciiTheme="minorHAnsi" w:hAnsiTheme="minorHAnsi" w:cstheme="minorHAnsi"/>
          <w:bCs/>
          <w:iCs/>
          <w:color w:val="000000"/>
          <w:sz w:val="22"/>
          <w:szCs w:val="22"/>
        </w:rPr>
        <w:t> ».</w:t>
      </w:r>
    </w:p>
    <w:p w14:paraId="47C5C101" w14:textId="77777777" w:rsidR="00F24C16" w:rsidRDefault="00F24C16"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p>
    <w:p w14:paraId="55A01C0C" w14:textId="77777777" w:rsidR="00DC7D12" w:rsidRDefault="00AC55A7"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C’est à tort que l’OTW se pense contrainte d’appliquer cette convention collective, </w:t>
      </w:r>
      <w:r w:rsidR="008863EF">
        <w:rPr>
          <w:rFonts w:asciiTheme="minorHAnsi" w:hAnsiTheme="minorHAnsi" w:cstheme="minorHAnsi"/>
          <w:bCs/>
          <w:iCs/>
          <w:color w:val="000000"/>
          <w:sz w:val="22"/>
          <w:szCs w:val="22"/>
        </w:rPr>
        <w:t>sans tenir compte d</w:t>
      </w:r>
      <w:r w:rsidR="008D3F2A">
        <w:rPr>
          <w:rFonts w:asciiTheme="minorHAnsi" w:hAnsiTheme="minorHAnsi" w:cstheme="minorHAnsi"/>
          <w:bCs/>
          <w:iCs/>
          <w:color w:val="000000"/>
          <w:sz w:val="22"/>
          <w:szCs w:val="22"/>
        </w:rPr>
        <w:t>u décret</w:t>
      </w:r>
      <w:r w:rsidR="00A745AC">
        <w:rPr>
          <w:rFonts w:asciiTheme="minorHAnsi" w:hAnsiTheme="minorHAnsi" w:cstheme="minorHAnsi"/>
          <w:bCs/>
          <w:iCs/>
          <w:color w:val="000000"/>
          <w:sz w:val="22"/>
          <w:szCs w:val="22"/>
        </w:rPr>
        <w:t xml:space="preserve"> du 6 novembre 2008</w:t>
      </w:r>
      <w:r w:rsidR="008863EF">
        <w:rPr>
          <w:rFonts w:asciiTheme="minorHAnsi" w:hAnsiTheme="minorHAnsi" w:cstheme="minorHAnsi"/>
          <w:bCs/>
          <w:iCs/>
          <w:color w:val="000000"/>
          <w:sz w:val="22"/>
          <w:szCs w:val="22"/>
        </w:rPr>
        <w:t>. La question de la hiérarchie des normes n’est pas étrangère au présent cas</w:t>
      </w:r>
      <w:r w:rsidR="00620712">
        <w:rPr>
          <w:rFonts w:asciiTheme="minorHAnsi" w:hAnsiTheme="minorHAnsi" w:cstheme="minorHAnsi"/>
          <w:bCs/>
          <w:iCs/>
          <w:color w:val="000000"/>
          <w:sz w:val="22"/>
          <w:szCs w:val="22"/>
        </w:rPr>
        <w:t xml:space="preserve"> : elle constitue par ailleurs un </w:t>
      </w:r>
      <w:r w:rsidR="009F1696">
        <w:rPr>
          <w:rFonts w:asciiTheme="minorHAnsi" w:hAnsiTheme="minorHAnsi" w:cstheme="minorHAnsi"/>
          <w:bCs/>
          <w:iCs/>
          <w:color w:val="000000"/>
          <w:sz w:val="22"/>
          <w:szCs w:val="22"/>
        </w:rPr>
        <w:t xml:space="preserve">principe </w:t>
      </w:r>
      <w:r w:rsidR="00C80EC4">
        <w:rPr>
          <w:rFonts w:asciiTheme="minorHAnsi" w:hAnsiTheme="minorHAnsi" w:cstheme="minorHAnsi"/>
          <w:bCs/>
          <w:iCs/>
          <w:color w:val="000000"/>
          <w:sz w:val="22"/>
          <w:szCs w:val="22"/>
        </w:rPr>
        <w:t xml:space="preserve">fondamental de l’Etat de droit. </w:t>
      </w:r>
      <w:r w:rsidR="004F0C2B">
        <w:rPr>
          <w:rFonts w:asciiTheme="minorHAnsi" w:hAnsiTheme="minorHAnsi" w:cstheme="minorHAnsi"/>
          <w:bCs/>
          <w:iCs/>
          <w:color w:val="000000"/>
          <w:sz w:val="22"/>
          <w:szCs w:val="22"/>
        </w:rPr>
        <w:t>Il n’est pas con</w:t>
      </w:r>
      <w:r w:rsidR="00F2548A">
        <w:rPr>
          <w:rFonts w:asciiTheme="minorHAnsi" w:hAnsiTheme="minorHAnsi" w:cstheme="minorHAnsi"/>
          <w:bCs/>
          <w:iCs/>
          <w:color w:val="000000"/>
          <w:sz w:val="22"/>
          <w:szCs w:val="22"/>
        </w:rPr>
        <w:t xml:space="preserve">testable que les normes législatives sont supérieures aux normes de droit collectif. </w:t>
      </w:r>
    </w:p>
    <w:p w14:paraId="705595B9" w14:textId="77777777" w:rsidR="00DC7D12" w:rsidRDefault="00DC7D12"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p>
    <w:p w14:paraId="41E00931" w14:textId="6EDBCC34" w:rsidR="00F2548A" w:rsidRDefault="00A745AC"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Il est vrai que l’OTW ou encore Monsieur </w:t>
      </w:r>
      <w:r w:rsidR="00AC7907">
        <w:rPr>
          <w:rFonts w:asciiTheme="minorHAnsi" w:hAnsiTheme="minorHAnsi" w:cstheme="minorHAnsi"/>
          <w:bCs/>
          <w:iCs/>
          <w:color w:val="000000"/>
          <w:sz w:val="22"/>
          <w:szCs w:val="22"/>
        </w:rPr>
        <w:t>P</w:t>
      </w:r>
      <w:r>
        <w:rPr>
          <w:rFonts w:asciiTheme="minorHAnsi" w:hAnsiTheme="minorHAnsi" w:cstheme="minorHAnsi"/>
          <w:bCs/>
          <w:iCs/>
          <w:color w:val="000000"/>
          <w:sz w:val="22"/>
          <w:szCs w:val="22"/>
        </w:rPr>
        <w:t xml:space="preserve"> invoquent la loi du 10 mai 2007</w:t>
      </w:r>
      <w:r w:rsidR="00DC7D12">
        <w:rPr>
          <w:rFonts w:asciiTheme="minorHAnsi" w:hAnsiTheme="minorHAnsi" w:cstheme="minorHAnsi"/>
          <w:bCs/>
          <w:iCs/>
          <w:color w:val="000000"/>
          <w:sz w:val="22"/>
          <w:szCs w:val="22"/>
        </w:rPr>
        <w:t xml:space="preserve"> mais rappelons que :</w:t>
      </w:r>
    </w:p>
    <w:p w14:paraId="1E0DF350" w14:textId="16A1AEBB" w:rsidR="00DC7D12" w:rsidRDefault="00DC7D12" w:rsidP="00DC7D12">
      <w:pPr>
        <w:pStyle w:val="Liste"/>
        <w:numPr>
          <w:ilvl w:val="0"/>
          <w:numId w:val="27"/>
        </w:numPr>
        <w:spacing w:before="100" w:beforeAutospacing="1" w:after="100" w:afterAutospacing="1"/>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Elle est sensiblement identique au décret de 2008 (base légale applicable au présent litige) car </w:t>
      </w:r>
      <w:r w:rsidR="00701D98">
        <w:rPr>
          <w:rFonts w:asciiTheme="minorHAnsi" w:hAnsiTheme="minorHAnsi" w:cstheme="minorHAnsi"/>
          <w:bCs/>
          <w:iCs/>
          <w:color w:val="000000"/>
          <w:sz w:val="22"/>
          <w:szCs w:val="22"/>
        </w:rPr>
        <w:t>tous deux transposent uniformément la directive 2000/78/CE ;</w:t>
      </w:r>
    </w:p>
    <w:p w14:paraId="78A2E25D" w14:textId="1BD6578E" w:rsidR="00701D98" w:rsidRDefault="00701D98" w:rsidP="00DC7D12">
      <w:pPr>
        <w:pStyle w:val="Liste"/>
        <w:numPr>
          <w:ilvl w:val="0"/>
          <w:numId w:val="27"/>
        </w:numPr>
        <w:spacing w:before="100" w:beforeAutospacing="1" w:after="100" w:afterAutospacing="1"/>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 xml:space="preserve">A l’intérieur même du principe de la hiérarchie des normes réside le principe de l’équipollence des normes fédérales et fédérées. </w:t>
      </w:r>
      <w:r w:rsidR="0088763F">
        <w:rPr>
          <w:rFonts w:asciiTheme="minorHAnsi" w:hAnsiTheme="minorHAnsi" w:cstheme="minorHAnsi"/>
          <w:bCs/>
          <w:iCs/>
          <w:color w:val="000000"/>
          <w:sz w:val="22"/>
          <w:szCs w:val="22"/>
        </w:rPr>
        <w:t xml:space="preserve">En d’autres termes, </w:t>
      </w:r>
      <w:r w:rsidR="00B50270">
        <w:rPr>
          <w:rFonts w:asciiTheme="minorHAnsi" w:hAnsiTheme="minorHAnsi" w:cstheme="minorHAnsi"/>
          <w:bCs/>
          <w:iCs/>
          <w:color w:val="000000"/>
          <w:sz w:val="22"/>
          <w:szCs w:val="22"/>
        </w:rPr>
        <w:t>loi et décr</w:t>
      </w:r>
      <w:r w:rsidR="00CB55E7">
        <w:rPr>
          <w:rFonts w:asciiTheme="minorHAnsi" w:hAnsiTheme="minorHAnsi" w:cstheme="minorHAnsi"/>
          <w:bCs/>
          <w:iCs/>
          <w:color w:val="000000"/>
          <w:sz w:val="22"/>
          <w:szCs w:val="22"/>
        </w:rPr>
        <w:t xml:space="preserve">et sont supérieurs aux conventions collectives. </w:t>
      </w:r>
    </w:p>
    <w:p w14:paraId="48FC6FDA" w14:textId="77777777" w:rsidR="00F2548A" w:rsidRDefault="00F2548A"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p>
    <w:p w14:paraId="60F75192" w14:textId="77777777" w:rsidR="00293C80" w:rsidRDefault="00C80EC4"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lang w:val="fr-BE"/>
        </w:rPr>
      </w:pPr>
      <w:r>
        <w:rPr>
          <w:rFonts w:asciiTheme="minorHAnsi" w:hAnsiTheme="minorHAnsi" w:cstheme="minorHAnsi"/>
          <w:bCs/>
          <w:iCs/>
          <w:color w:val="000000"/>
          <w:sz w:val="22"/>
          <w:szCs w:val="22"/>
        </w:rPr>
        <w:t>De plus, la loi du 5 décembre 1968</w:t>
      </w:r>
      <w:r w:rsidR="006961E7" w:rsidRPr="006961E7">
        <w:rPr>
          <w:rFonts w:asciiTheme="minorHAnsi" w:eastAsiaTheme="minorHAnsi" w:hAnsiTheme="minorHAnsi" w:cstheme="minorBidi"/>
          <w:sz w:val="22"/>
          <w:szCs w:val="22"/>
          <w:lang w:val="fr-BE" w:eastAsia="en-US"/>
        </w:rPr>
        <w:t xml:space="preserve"> </w:t>
      </w:r>
      <w:r w:rsidR="006961E7" w:rsidRPr="006961E7">
        <w:rPr>
          <w:rFonts w:asciiTheme="minorHAnsi" w:hAnsiTheme="minorHAnsi" w:cstheme="minorHAnsi"/>
          <w:bCs/>
          <w:iCs/>
          <w:color w:val="000000"/>
          <w:sz w:val="22"/>
          <w:szCs w:val="22"/>
          <w:lang w:val="fr-BE"/>
        </w:rPr>
        <w:t>sur les conventions collectives de travail et les commissions paritaires</w:t>
      </w:r>
      <w:r w:rsidR="006961E7">
        <w:rPr>
          <w:rFonts w:asciiTheme="minorHAnsi" w:hAnsiTheme="minorHAnsi" w:cstheme="minorHAnsi"/>
          <w:bCs/>
          <w:iCs/>
          <w:color w:val="000000"/>
          <w:sz w:val="22"/>
          <w:szCs w:val="22"/>
          <w:lang w:val="fr-BE"/>
        </w:rPr>
        <w:t xml:space="preserve"> établit une hiérarchie des normes </w:t>
      </w:r>
      <w:r w:rsidR="004F0C2B">
        <w:rPr>
          <w:rFonts w:asciiTheme="minorHAnsi" w:hAnsiTheme="minorHAnsi" w:cstheme="minorHAnsi"/>
          <w:bCs/>
          <w:iCs/>
          <w:color w:val="000000"/>
          <w:sz w:val="22"/>
          <w:szCs w:val="22"/>
          <w:lang w:val="fr-BE"/>
        </w:rPr>
        <w:t>régissant la relation de travail</w:t>
      </w:r>
      <w:r w:rsidR="00F2548A">
        <w:rPr>
          <w:rFonts w:asciiTheme="minorHAnsi" w:hAnsiTheme="minorHAnsi" w:cstheme="minorHAnsi"/>
          <w:bCs/>
          <w:iCs/>
          <w:color w:val="000000"/>
          <w:sz w:val="22"/>
          <w:szCs w:val="22"/>
          <w:lang w:val="fr-BE"/>
        </w:rPr>
        <w:t xml:space="preserve"> en son article 51. En première position se trouve l</w:t>
      </w:r>
      <w:r w:rsidR="0083248E">
        <w:rPr>
          <w:rFonts w:asciiTheme="minorHAnsi" w:hAnsiTheme="minorHAnsi" w:cstheme="minorHAnsi"/>
          <w:bCs/>
          <w:iCs/>
          <w:color w:val="000000"/>
          <w:sz w:val="22"/>
          <w:szCs w:val="22"/>
          <w:lang w:val="fr-BE"/>
        </w:rPr>
        <w:t xml:space="preserve">a loi dans ses dispositions impératives et ensuite seulement, </w:t>
      </w:r>
      <w:r w:rsidR="0083248E" w:rsidRPr="0083248E">
        <w:rPr>
          <w:rFonts w:asciiTheme="minorHAnsi" w:hAnsiTheme="minorHAnsi" w:cstheme="minorHAnsi"/>
          <w:bCs/>
          <w:iCs/>
          <w:color w:val="000000"/>
          <w:sz w:val="22"/>
          <w:szCs w:val="22"/>
          <w:lang w:val="fr-BE"/>
        </w:rPr>
        <w:t>les conventions collectives de travail rendues obligatoires</w:t>
      </w:r>
      <w:r w:rsidR="0083248E">
        <w:rPr>
          <w:rFonts w:asciiTheme="minorHAnsi" w:hAnsiTheme="minorHAnsi" w:cstheme="minorHAnsi"/>
          <w:bCs/>
          <w:iCs/>
          <w:color w:val="000000"/>
          <w:sz w:val="22"/>
          <w:szCs w:val="22"/>
          <w:lang w:val="fr-BE"/>
        </w:rPr>
        <w:t xml:space="preserve">. </w:t>
      </w:r>
    </w:p>
    <w:p w14:paraId="469A51F4" w14:textId="77777777" w:rsidR="00293C80" w:rsidRDefault="00293C80"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lang w:val="fr-BE"/>
        </w:rPr>
      </w:pPr>
    </w:p>
    <w:p w14:paraId="1D77BEDA" w14:textId="31FCE1EE" w:rsidR="00293C80" w:rsidRDefault="0083248E"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lang w:val="fr-BE"/>
        </w:rPr>
      </w:pPr>
      <w:r>
        <w:rPr>
          <w:rFonts w:asciiTheme="minorHAnsi" w:hAnsiTheme="minorHAnsi" w:cstheme="minorHAnsi"/>
          <w:bCs/>
          <w:iCs/>
          <w:color w:val="000000"/>
          <w:sz w:val="22"/>
          <w:szCs w:val="22"/>
          <w:lang w:val="fr-BE"/>
        </w:rPr>
        <w:t xml:space="preserve">Or, plus qu’une norme impérative, la loi du 10 mai 2007 tendant à </w:t>
      </w:r>
      <w:r w:rsidR="002506DE">
        <w:rPr>
          <w:rFonts w:asciiTheme="minorHAnsi" w:hAnsiTheme="minorHAnsi" w:cstheme="minorHAnsi"/>
          <w:bCs/>
          <w:iCs/>
          <w:color w:val="000000"/>
          <w:sz w:val="22"/>
          <w:szCs w:val="22"/>
          <w:lang w:val="fr-BE"/>
        </w:rPr>
        <w:t>lutter contre certaines formes de discrimination</w:t>
      </w:r>
      <w:r w:rsidR="00BC3998">
        <w:rPr>
          <w:rFonts w:asciiTheme="minorHAnsi" w:hAnsiTheme="minorHAnsi" w:cstheme="minorHAnsi"/>
          <w:bCs/>
          <w:iCs/>
          <w:color w:val="000000"/>
          <w:sz w:val="22"/>
          <w:szCs w:val="22"/>
          <w:lang w:val="fr-BE"/>
        </w:rPr>
        <w:t xml:space="preserve"> touche à l’ordre public</w:t>
      </w:r>
      <w:r w:rsidR="004B09F4">
        <w:rPr>
          <w:rStyle w:val="Appelnotedebasdep"/>
          <w:rFonts w:asciiTheme="minorHAnsi" w:hAnsiTheme="minorHAnsi" w:cstheme="minorHAnsi"/>
          <w:bCs/>
          <w:iCs/>
          <w:color w:val="000000"/>
          <w:sz w:val="22"/>
          <w:szCs w:val="22"/>
          <w:lang w:val="fr-BE"/>
        </w:rPr>
        <w:footnoteReference w:id="11"/>
      </w:r>
      <w:r w:rsidR="00BC3998">
        <w:rPr>
          <w:rFonts w:asciiTheme="minorHAnsi" w:hAnsiTheme="minorHAnsi" w:cstheme="minorHAnsi"/>
          <w:bCs/>
          <w:iCs/>
          <w:color w:val="000000"/>
          <w:sz w:val="22"/>
          <w:szCs w:val="22"/>
          <w:lang w:val="fr-BE"/>
        </w:rPr>
        <w:t>.</w:t>
      </w:r>
      <w:r w:rsidR="00BD4A58">
        <w:rPr>
          <w:rFonts w:asciiTheme="minorHAnsi" w:hAnsiTheme="minorHAnsi" w:cstheme="minorHAnsi"/>
          <w:bCs/>
          <w:iCs/>
          <w:color w:val="000000"/>
          <w:sz w:val="22"/>
          <w:szCs w:val="22"/>
          <w:lang w:val="fr-BE"/>
        </w:rPr>
        <w:t xml:space="preserve"> </w:t>
      </w:r>
      <w:r w:rsidR="00BC3998">
        <w:rPr>
          <w:rFonts w:asciiTheme="minorHAnsi" w:hAnsiTheme="minorHAnsi" w:cstheme="minorHAnsi"/>
          <w:bCs/>
          <w:iCs/>
          <w:color w:val="000000"/>
          <w:sz w:val="22"/>
          <w:szCs w:val="22"/>
          <w:lang w:val="fr-BE"/>
        </w:rPr>
        <w:t xml:space="preserve"> </w:t>
      </w:r>
      <w:r w:rsidR="00747E5A">
        <w:rPr>
          <w:rFonts w:asciiTheme="minorHAnsi" w:hAnsiTheme="minorHAnsi" w:cstheme="minorHAnsi"/>
          <w:bCs/>
          <w:iCs/>
          <w:color w:val="000000"/>
          <w:sz w:val="22"/>
          <w:szCs w:val="22"/>
          <w:lang w:val="fr-BE"/>
        </w:rPr>
        <w:t>Par analogie, le même caractère peut être attribué au décret du 6 novembre 2008</w:t>
      </w:r>
      <w:r w:rsidR="00911DF6">
        <w:rPr>
          <w:rStyle w:val="Appelnotedebasdep"/>
          <w:rFonts w:asciiTheme="minorHAnsi" w:hAnsiTheme="minorHAnsi" w:cstheme="minorHAnsi"/>
          <w:bCs/>
          <w:iCs/>
          <w:color w:val="000000"/>
          <w:sz w:val="22"/>
          <w:szCs w:val="22"/>
          <w:lang w:val="fr-BE"/>
        </w:rPr>
        <w:footnoteReference w:id="12"/>
      </w:r>
      <w:r w:rsidR="00911DF6">
        <w:rPr>
          <w:rFonts w:asciiTheme="minorHAnsi" w:hAnsiTheme="minorHAnsi" w:cstheme="minorHAnsi"/>
          <w:bCs/>
          <w:iCs/>
          <w:color w:val="000000"/>
          <w:sz w:val="22"/>
          <w:szCs w:val="22"/>
          <w:lang w:val="fr-BE"/>
        </w:rPr>
        <w:t xml:space="preserve">. </w:t>
      </w:r>
      <w:r w:rsidR="009E239B">
        <w:rPr>
          <w:rFonts w:asciiTheme="minorHAnsi" w:hAnsiTheme="minorHAnsi" w:cstheme="minorHAnsi"/>
          <w:bCs/>
          <w:iCs/>
          <w:color w:val="000000"/>
          <w:sz w:val="22"/>
          <w:szCs w:val="22"/>
          <w:lang w:val="fr-BE"/>
        </w:rPr>
        <w:t>Son article 1</w:t>
      </w:r>
      <w:r w:rsidR="00725337">
        <w:rPr>
          <w:rFonts w:asciiTheme="minorHAnsi" w:hAnsiTheme="minorHAnsi" w:cstheme="minorHAnsi"/>
          <w:bCs/>
          <w:iCs/>
          <w:color w:val="000000"/>
          <w:sz w:val="22"/>
          <w:szCs w:val="22"/>
          <w:lang w:val="fr-BE"/>
        </w:rPr>
        <w:t>7</w:t>
      </w:r>
      <w:r w:rsidR="009E239B">
        <w:rPr>
          <w:rFonts w:asciiTheme="minorHAnsi" w:hAnsiTheme="minorHAnsi" w:cstheme="minorHAnsi"/>
          <w:bCs/>
          <w:iCs/>
          <w:color w:val="000000"/>
          <w:sz w:val="22"/>
          <w:szCs w:val="22"/>
          <w:lang w:val="fr-BE"/>
        </w:rPr>
        <w:t xml:space="preserve"> est par ailleurs éloquent en ce sens qu’il déclare nulles toute</w:t>
      </w:r>
      <w:r w:rsidR="00797AF0">
        <w:rPr>
          <w:rFonts w:asciiTheme="minorHAnsi" w:hAnsiTheme="minorHAnsi" w:cstheme="minorHAnsi"/>
          <w:bCs/>
          <w:iCs/>
          <w:color w:val="000000"/>
          <w:sz w:val="22"/>
          <w:szCs w:val="22"/>
          <w:lang w:val="fr-BE"/>
        </w:rPr>
        <w:t>s</w:t>
      </w:r>
      <w:r w:rsidR="009E239B">
        <w:rPr>
          <w:rFonts w:asciiTheme="minorHAnsi" w:hAnsiTheme="minorHAnsi" w:cstheme="minorHAnsi"/>
          <w:bCs/>
          <w:iCs/>
          <w:color w:val="000000"/>
          <w:sz w:val="22"/>
          <w:szCs w:val="22"/>
          <w:lang w:val="fr-BE"/>
        </w:rPr>
        <w:t xml:space="preserve"> disposition</w:t>
      </w:r>
      <w:r w:rsidR="00797AF0">
        <w:rPr>
          <w:rFonts w:asciiTheme="minorHAnsi" w:hAnsiTheme="minorHAnsi" w:cstheme="minorHAnsi"/>
          <w:bCs/>
          <w:iCs/>
          <w:color w:val="000000"/>
          <w:sz w:val="22"/>
          <w:szCs w:val="22"/>
          <w:lang w:val="fr-BE"/>
        </w:rPr>
        <w:t>s</w:t>
      </w:r>
      <w:r w:rsidR="009E239B">
        <w:rPr>
          <w:rFonts w:asciiTheme="minorHAnsi" w:hAnsiTheme="minorHAnsi" w:cstheme="minorHAnsi"/>
          <w:bCs/>
          <w:iCs/>
          <w:color w:val="000000"/>
          <w:sz w:val="22"/>
          <w:szCs w:val="22"/>
          <w:lang w:val="fr-BE"/>
        </w:rPr>
        <w:t xml:space="preserve"> contraire</w:t>
      </w:r>
      <w:r w:rsidR="00797AF0">
        <w:rPr>
          <w:rFonts w:asciiTheme="minorHAnsi" w:hAnsiTheme="minorHAnsi" w:cstheme="minorHAnsi"/>
          <w:bCs/>
          <w:iCs/>
          <w:color w:val="000000"/>
          <w:sz w:val="22"/>
          <w:szCs w:val="22"/>
          <w:lang w:val="fr-BE"/>
        </w:rPr>
        <w:t>s</w:t>
      </w:r>
      <w:r w:rsidR="009E239B">
        <w:rPr>
          <w:rFonts w:asciiTheme="minorHAnsi" w:hAnsiTheme="minorHAnsi" w:cstheme="minorHAnsi"/>
          <w:bCs/>
          <w:iCs/>
          <w:color w:val="000000"/>
          <w:sz w:val="22"/>
          <w:szCs w:val="22"/>
          <w:lang w:val="fr-BE"/>
        </w:rPr>
        <w:t xml:space="preserve"> à la présente loi</w:t>
      </w:r>
      <w:r w:rsidR="004B09F4">
        <w:rPr>
          <w:rFonts w:asciiTheme="minorHAnsi" w:hAnsiTheme="minorHAnsi" w:cstheme="minorHAnsi"/>
          <w:bCs/>
          <w:iCs/>
          <w:color w:val="000000"/>
          <w:sz w:val="22"/>
          <w:szCs w:val="22"/>
          <w:lang w:val="fr-BE"/>
        </w:rPr>
        <w:t xml:space="preserve">, ainsi que les clauses contractuelles qui prévoient qu’un ou plusieurs contractants renonce aux droits garantis par la présente loi. </w:t>
      </w:r>
    </w:p>
    <w:p w14:paraId="18017406" w14:textId="77777777" w:rsidR="00D76B61" w:rsidRDefault="00D76B61"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lang w:val="fr-BE"/>
        </w:rPr>
      </w:pPr>
    </w:p>
    <w:p w14:paraId="117A67A6" w14:textId="07072E0F" w:rsidR="00D76B61" w:rsidRDefault="00D76B61" w:rsidP="00D76B61">
      <w:pPr>
        <w:pStyle w:val="Liste"/>
        <w:ind w:left="0" w:firstLine="0"/>
        <w:jc w:val="both"/>
        <w:rPr>
          <w:rFonts w:asciiTheme="minorHAnsi" w:hAnsiTheme="minorHAnsi"/>
          <w:sz w:val="22"/>
          <w:szCs w:val="22"/>
        </w:rPr>
      </w:pPr>
      <w:r>
        <w:rPr>
          <w:rFonts w:asciiTheme="minorHAnsi" w:hAnsiTheme="minorHAnsi"/>
          <w:sz w:val="22"/>
          <w:szCs w:val="22"/>
        </w:rPr>
        <w:t>Cette convention collective de travail</w:t>
      </w:r>
      <w:r w:rsidR="00C25AD1">
        <w:rPr>
          <w:rFonts w:asciiTheme="minorHAnsi" w:hAnsiTheme="minorHAnsi"/>
          <w:sz w:val="22"/>
          <w:szCs w:val="22"/>
        </w:rPr>
        <w:t xml:space="preserve"> du</w:t>
      </w:r>
      <w:r>
        <w:rPr>
          <w:rFonts w:asciiTheme="minorHAnsi" w:hAnsiTheme="minorHAnsi"/>
          <w:sz w:val="22"/>
          <w:szCs w:val="22"/>
        </w:rPr>
        <w:t xml:space="preserve"> 30 juin 2008  n’est donc pas en soi une justification objective, légitime et raisonnable de la distinction opérée et de la discrimination qui touche Monsieur </w:t>
      </w:r>
      <w:r w:rsidR="00AC7907">
        <w:rPr>
          <w:rFonts w:asciiTheme="minorHAnsi" w:hAnsiTheme="minorHAnsi"/>
          <w:sz w:val="22"/>
          <w:szCs w:val="22"/>
        </w:rPr>
        <w:t>P</w:t>
      </w:r>
      <w:r>
        <w:rPr>
          <w:rFonts w:asciiTheme="minorHAnsi" w:hAnsiTheme="minorHAnsi"/>
          <w:sz w:val="22"/>
          <w:szCs w:val="22"/>
        </w:rPr>
        <w:t>.</w:t>
      </w:r>
    </w:p>
    <w:p w14:paraId="1FE6F664" w14:textId="77777777" w:rsidR="00D76B61" w:rsidRDefault="00D76B61" w:rsidP="00D76B61">
      <w:pPr>
        <w:pStyle w:val="Liste"/>
        <w:ind w:left="0" w:firstLine="0"/>
        <w:jc w:val="both"/>
        <w:rPr>
          <w:rFonts w:asciiTheme="minorHAnsi" w:hAnsiTheme="minorHAnsi"/>
          <w:sz w:val="22"/>
          <w:szCs w:val="22"/>
        </w:rPr>
      </w:pPr>
    </w:p>
    <w:p w14:paraId="7A871ECF" w14:textId="4CD575BE" w:rsidR="00D76B61" w:rsidRDefault="00D76B61" w:rsidP="00D76B61">
      <w:pPr>
        <w:pStyle w:val="Liste"/>
        <w:ind w:left="0" w:firstLine="0"/>
        <w:jc w:val="both"/>
        <w:rPr>
          <w:rFonts w:asciiTheme="minorHAnsi" w:hAnsiTheme="minorHAnsi"/>
          <w:sz w:val="22"/>
          <w:szCs w:val="22"/>
          <w:lang w:val="fr-BE"/>
        </w:rPr>
      </w:pPr>
      <w:r w:rsidRPr="00D76B61">
        <w:rPr>
          <w:rFonts w:asciiTheme="minorHAnsi" w:hAnsiTheme="minorHAnsi"/>
          <w:sz w:val="22"/>
          <w:szCs w:val="22"/>
        </w:rPr>
        <w:t>Et il convient d’ajouter que la nouvelle convention collective de travail de 2023, qui abroge la précédente, et en adoucit les principes, ne règle pas le problème, puisque dans les faits,  l’OTW</w:t>
      </w:r>
      <w:r w:rsidRPr="00D76B61">
        <w:rPr>
          <w:rFonts w:asciiTheme="minorHAnsi" w:hAnsiTheme="minorHAnsi"/>
          <w:sz w:val="22"/>
          <w:szCs w:val="22"/>
          <w:lang w:val="fr-BE"/>
        </w:rPr>
        <w:t xml:space="preserve"> refuse encore à Monsieur </w:t>
      </w:r>
      <w:r w:rsidR="00AC7907">
        <w:rPr>
          <w:rFonts w:asciiTheme="minorHAnsi" w:hAnsiTheme="minorHAnsi"/>
          <w:sz w:val="22"/>
          <w:szCs w:val="22"/>
          <w:lang w:val="fr-BE"/>
        </w:rPr>
        <w:t>P</w:t>
      </w:r>
      <w:r w:rsidRPr="00D76B61">
        <w:rPr>
          <w:rFonts w:asciiTheme="minorHAnsi" w:hAnsiTheme="minorHAnsi"/>
          <w:sz w:val="22"/>
          <w:szCs w:val="22"/>
          <w:lang w:val="fr-BE"/>
        </w:rPr>
        <w:t xml:space="preserve"> de reprendre le travail à mi-temps en raison de son problème médical.</w:t>
      </w:r>
    </w:p>
    <w:p w14:paraId="2CB5EC27" w14:textId="77777777" w:rsidR="00D76B61" w:rsidRDefault="00D76B61" w:rsidP="00D76B61">
      <w:pPr>
        <w:pStyle w:val="Liste"/>
        <w:ind w:left="0" w:firstLine="0"/>
        <w:jc w:val="both"/>
        <w:rPr>
          <w:rFonts w:asciiTheme="minorHAnsi" w:hAnsiTheme="minorHAnsi"/>
          <w:sz w:val="22"/>
          <w:szCs w:val="22"/>
          <w:lang w:val="fr-BE"/>
        </w:rPr>
      </w:pPr>
    </w:p>
    <w:p w14:paraId="5A315EDF" w14:textId="77777777" w:rsidR="00D76B61" w:rsidRPr="00D76B61" w:rsidRDefault="00D76B61" w:rsidP="00D76B61">
      <w:pPr>
        <w:pStyle w:val="Liste"/>
        <w:ind w:left="0" w:firstLine="0"/>
        <w:jc w:val="both"/>
        <w:rPr>
          <w:rFonts w:asciiTheme="minorHAnsi" w:hAnsiTheme="minorHAnsi" w:cstheme="minorHAnsi"/>
          <w:color w:val="000000"/>
          <w:sz w:val="22"/>
          <w:szCs w:val="22"/>
          <w:shd w:val="clear" w:color="auto" w:fill="FFFFFF"/>
        </w:rPr>
      </w:pPr>
      <w:r w:rsidRPr="00D76B61">
        <w:rPr>
          <w:rFonts w:asciiTheme="minorHAnsi" w:hAnsiTheme="minorHAnsi" w:cstheme="minorHAnsi"/>
          <w:color w:val="000000"/>
          <w:sz w:val="22"/>
          <w:szCs w:val="22"/>
          <w:shd w:val="clear" w:color="auto" w:fill="FFFFFF"/>
        </w:rPr>
        <w:t>En toute hypothèse, dans un arrêt très récent du 14 septembre 2023</w:t>
      </w:r>
      <w:r w:rsidRPr="00D76B61">
        <w:rPr>
          <w:rStyle w:val="Appelnotedebasdep"/>
          <w:rFonts w:asciiTheme="minorHAnsi" w:hAnsiTheme="minorHAnsi" w:cstheme="minorHAnsi"/>
          <w:color w:val="000000"/>
          <w:sz w:val="22"/>
          <w:szCs w:val="22"/>
          <w:shd w:val="clear" w:color="auto" w:fill="FFFFFF"/>
        </w:rPr>
        <w:footnoteReference w:id="13"/>
      </w:r>
      <w:r w:rsidRPr="00D76B61">
        <w:rPr>
          <w:rFonts w:asciiTheme="minorHAnsi" w:hAnsiTheme="minorHAnsi" w:cstheme="minorHAnsi"/>
          <w:color w:val="000000"/>
          <w:sz w:val="22"/>
          <w:szCs w:val="22"/>
          <w:shd w:val="clear" w:color="auto" w:fill="FFFFFF"/>
        </w:rPr>
        <w:t>, la Cour de Justice de l’Union européenne a rappelé qu'en vertu des principes du droit de l'Union et selon sa jurisprudence constante, lorsqu'une discrimination a été constatée, le juge national ainsi que les autorités administratives doivent écarter toute disposition nationale discriminatoire sans attendre l'élimination de celle-ci par le législateur. Dans ce cas d'espèce, la pratique administrative avait été précisée (mais la discrimination manifestement maintenue), dans l'attente de l'intervention du législateur.</w:t>
      </w:r>
    </w:p>
    <w:p w14:paraId="3E88D617" w14:textId="77777777" w:rsidR="00293C80" w:rsidRDefault="00293C80"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lang w:val="fr-BE"/>
        </w:rPr>
      </w:pPr>
    </w:p>
    <w:p w14:paraId="24CFD0AD" w14:textId="4FDC76C1" w:rsidR="00293C80" w:rsidRDefault="00293C80"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lang w:val="fr-BE"/>
        </w:rPr>
      </w:pPr>
      <w:r>
        <w:rPr>
          <w:rFonts w:asciiTheme="minorHAnsi" w:hAnsiTheme="minorHAnsi" w:cstheme="minorHAnsi"/>
          <w:bCs/>
          <w:iCs/>
          <w:color w:val="000000"/>
          <w:sz w:val="22"/>
          <w:szCs w:val="22"/>
          <w:lang w:val="fr-BE"/>
        </w:rPr>
        <w:t>Par conséquent, l’argument selon lequel la demande de mi-temps devait être refusé</w:t>
      </w:r>
      <w:r w:rsidR="008119A4">
        <w:rPr>
          <w:rFonts w:asciiTheme="minorHAnsi" w:hAnsiTheme="minorHAnsi" w:cstheme="minorHAnsi"/>
          <w:bCs/>
          <w:iCs/>
          <w:color w:val="000000"/>
          <w:sz w:val="22"/>
          <w:szCs w:val="22"/>
          <w:lang w:val="fr-BE"/>
        </w:rPr>
        <w:t>e</w:t>
      </w:r>
      <w:r>
        <w:rPr>
          <w:rFonts w:asciiTheme="minorHAnsi" w:hAnsiTheme="minorHAnsi" w:cstheme="minorHAnsi"/>
          <w:bCs/>
          <w:iCs/>
          <w:color w:val="000000"/>
          <w:sz w:val="22"/>
          <w:szCs w:val="22"/>
          <w:lang w:val="fr-BE"/>
        </w:rPr>
        <w:t xml:space="preserve"> dès qu’</w:t>
      </w:r>
      <w:r w:rsidR="008119A4">
        <w:rPr>
          <w:rFonts w:asciiTheme="minorHAnsi" w:hAnsiTheme="minorHAnsi" w:cstheme="minorHAnsi"/>
          <w:bCs/>
          <w:iCs/>
          <w:color w:val="000000"/>
          <w:sz w:val="22"/>
          <w:szCs w:val="22"/>
          <w:lang w:val="fr-BE"/>
        </w:rPr>
        <w:t>el</w:t>
      </w:r>
      <w:r>
        <w:rPr>
          <w:rFonts w:asciiTheme="minorHAnsi" w:hAnsiTheme="minorHAnsi" w:cstheme="minorHAnsi"/>
          <w:bCs/>
          <w:iCs/>
          <w:color w:val="000000"/>
          <w:sz w:val="22"/>
          <w:szCs w:val="22"/>
          <w:lang w:val="fr-BE"/>
        </w:rPr>
        <w:t>l</w:t>
      </w:r>
      <w:r w:rsidR="008119A4">
        <w:rPr>
          <w:rFonts w:asciiTheme="minorHAnsi" w:hAnsiTheme="minorHAnsi" w:cstheme="minorHAnsi"/>
          <w:bCs/>
          <w:iCs/>
          <w:color w:val="000000"/>
          <w:sz w:val="22"/>
          <w:szCs w:val="22"/>
          <w:lang w:val="fr-BE"/>
        </w:rPr>
        <w:t>e</w:t>
      </w:r>
      <w:r>
        <w:rPr>
          <w:rFonts w:asciiTheme="minorHAnsi" w:hAnsiTheme="minorHAnsi" w:cstheme="minorHAnsi"/>
          <w:bCs/>
          <w:iCs/>
          <w:color w:val="000000"/>
          <w:sz w:val="22"/>
          <w:szCs w:val="22"/>
          <w:lang w:val="fr-BE"/>
        </w:rPr>
        <w:t xml:space="preserve"> venait en </w:t>
      </w:r>
      <w:r w:rsidR="0089431E">
        <w:rPr>
          <w:rFonts w:asciiTheme="minorHAnsi" w:hAnsiTheme="minorHAnsi" w:cstheme="minorHAnsi"/>
          <w:bCs/>
          <w:iCs/>
          <w:color w:val="000000"/>
          <w:sz w:val="22"/>
          <w:szCs w:val="22"/>
          <w:lang w:val="fr-BE"/>
        </w:rPr>
        <w:t xml:space="preserve">contradiction avec la convention collective doit être </w:t>
      </w:r>
      <w:r w:rsidR="00F23773">
        <w:rPr>
          <w:rFonts w:asciiTheme="minorHAnsi" w:hAnsiTheme="minorHAnsi" w:cstheme="minorHAnsi"/>
          <w:bCs/>
          <w:iCs/>
          <w:color w:val="000000"/>
          <w:sz w:val="22"/>
          <w:szCs w:val="22"/>
          <w:lang w:val="fr-BE"/>
        </w:rPr>
        <w:t>définitive</w:t>
      </w:r>
      <w:r w:rsidR="0089431E">
        <w:rPr>
          <w:rFonts w:asciiTheme="minorHAnsi" w:hAnsiTheme="minorHAnsi" w:cstheme="minorHAnsi"/>
          <w:bCs/>
          <w:iCs/>
          <w:color w:val="000000"/>
          <w:sz w:val="22"/>
          <w:szCs w:val="22"/>
          <w:lang w:val="fr-BE"/>
        </w:rPr>
        <w:t xml:space="preserve">ment écarté. </w:t>
      </w:r>
    </w:p>
    <w:p w14:paraId="050605D3" w14:textId="77777777" w:rsidR="007B06F5" w:rsidRDefault="007B06F5"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lang w:val="fr-BE"/>
        </w:rPr>
      </w:pPr>
    </w:p>
    <w:p w14:paraId="648F61C6" w14:textId="77777777" w:rsidR="00E929A8" w:rsidRDefault="00E929A8"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p>
    <w:p w14:paraId="2AEFCA0B" w14:textId="38648342" w:rsidR="00BE4D62" w:rsidRDefault="003C59EF" w:rsidP="00BE4D62">
      <w:pPr>
        <w:pStyle w:val="Liste"/>
        <w:numPr>
          <w:ilvl w:val="0"/>
          <w:numId w:val="30"/>
        </w:numPr>
        <w:spacing w:before="100" w:beforeAutospacing="1" w:after="100" w:afterAutospacing="1"/>
        <w:contextualSpacing/>
        <w:jc w:val="both"/>
        <w:rPr>
          <w:rFonts w:asciiTheme="minorHAnsi" w:hAnsiTheme="minorHAnsi" w:cstheme="minorHAnsi"/>
          <w:bCs/>
          <w:i/>
          <w:color w:val="000000"/>
          <w:sz w:val="22"/>
          <w:szCs w:val="22"/>
        </w:rPr>
      </w:pPr>
      <w:r>
        <w:rPr>
          <w:rFonts w:asciiTheme="minorHAnsi" w:hAnsiTheme="minorHAnsi" w:cstheme="minorHAnsi"/>
          <w:bCs/>
          <w:iCs/>
          <w:color w:val="000000"/>
          <w:sz w:val="22"/>
          <w:szCs w:val="22"/>
        </w:rPr>
        <w:t xml:space="preserve"> </w:t>
      </w:r>
      <w:r w:rsidR="00BE4D62" w:rsidRPr="00E929A8">
        <w:rPr>
          <w:rFonts w:asciiTheme="minorHAnsi" w:hAnsiTheme="minorHAnsi" w:cstheme="minorHAnsi"/>
          <w:bCs/>
          <w:i/>
          <w:color w:val="000000"/>
          <w:sz w:val="22"/>
          <w:szCs w:val="22"/>
        </w:rPr>
        <w:t>L’</w:t>
      </w:r>
      <w:r w:rsidRPr="00E929A8">
        <w:rPr>
          <w:rFonts w:asciiTheme="minorHAnsi" w:hAnsiTheme="minorHAnsi" w:cstheme="minorHAnsi"/>
          <w:bCs/>
          <w:i/>
          <w:color w:val="000000"/>
          <w:sz w:val="22"/>
          <w:szCs w:val="22"/>
        </w:rPr>
        <w:t>aménagement n’</w:t>
      </w:r>
      <w:r w:rsidR="00BE4D62" w:rsidRPr="00E929A8">
        <w:rPr>
          <w:rFonts w:asciiTheme="minorHAnsi" w:hAnsiTheme="minorHAnsi" w:cstheme="minorHAnsi"/>
          <w:bCs/>
          <w:i/>
          <w:color w:val="000000"/>
          <w:sz w:val="22"/>
          <w:szCs w:val="22"/>
        </w:rPr>
        <w:t>est</w:t>
      </w:r>
      <w:r w:rsidRPr="00E929A8">
        <w:rPr>
          <w:rFonts w:asciiTheme="minorHAnsi" w:hAnsiTheme="minorHAnsi" w:cstheme="minorHAnsi"/>
          <w:bCs/>
          <w:i/>
          <w:color w:val="000000"/>
          <w:sz w:val="22"/>
          <w:szCs w:val="22"/>
        </w:rPr>
        <w:t xml:space="preserve"> pas raisonnable </w:t>
      </w:r>
    </w:p>
    <w:p w14:paraId="7B795574" w14:textId="77777777" w:rsidR="00D1438D" w:rsidRDefault="00D1438D" w:rsidP="00D1438D">
      <w:pPr>
        <w:pStyle w:val="Liste"/>
        <w:spacing w:before="100" w:beforeAutospacing="1" w:after="100" w:afterAutospacing="1"/>
        <w:contextualSpacing/>
        <w:jc w:val="both"/>
        <w:rPr>
          <w:rFonts w:asciiTheme="minorHAnsi" w:hAnsiTheme="minorHAnsi" w:cstheme="minorHAnsi"/>
          <w:bCs/>
          <w:i/>
          <w:color w:val="000000"/>
          <w:sz w:val="22"/>
          <w:szCs w:val="22"/>
        </w:rPr>
      </w:pPr>
    </w:p>
    <w:p w14:paraId="34D67264" w14:textId="1A1E8D30" w:rsidR="002B6192" w:rsidRDefault="00E929A8" w:rsidP="00BE4D62">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La mise e</w:t>
      </w:r>
      <w:r w:rsidR="0013106F">
        <w:rPr>
          <w:rFonts w:asciiTheme="minorHAnsi" w:hAnsiTheme="minorHAnsi" w:cstheme="minorHAnsi"/>
          <w:bCs/>
          <w:iCs/>
          <w:color w:val="000000"/>
          <w:sz w:val="22"/>
          <w:szCs w:val="22"/>
        </w:rPr>
        <w:t>n</w:t>
      </w:r>
      <w:r>
        <w:rPr>
          <w:rFonts w:asciiTheme="minorHAnsi" w:hAnsiTheme="minorHAnsi" w:cstheme="minorHAnsi"/>
          <w:bCs/>
          <w:iCs/>
          <w:color w:val="000000"/>
          <w:sz w:val="22"/>
          <w:szCs w:val="22"/>
        </w:rPr>
        <w:t xml:space="preserve"> place d’un mi-temps médical au-delà de 6 m</w:t>
      </w:r>
      <w:r w:rsidR="00001598">
        <w:rPr>
          <w:rFonts w:asciiTheme="minorHAnsi" w:hAnsiTheme="minorHAnsi" w:cstheme="minorHAnsi"/>
          <w:bCs/>
          <w:iCs/>
          <w:color w:val="000000"/>
          <w:sz w:val="22"/>
          <w:szCs w:val="22"/>
        </w:rPr>
        <w:t>o</w:t>
      </w:r>
      <w:r>
        <w:rPr>
          <w:rFonts w:asciiTheme="minorHAnsi" w:hAnsiTheme="minorHAnsi" w:cstheme="minorHAnsi"/>
          <w:bCs/>
          <w:iCs/>
          <w:color w:val="000000"/>
          <w:sz w:val="22"/>
          <w:szCs w:val="22"/>
        </w:rPr>
        <w:t>is entrainerait une charge disproportionnée.</w:t>
      </w:r>
      <w:r w:rsidR="003C59EF">
        <w:rPr>
          <w:rFonts w:asciiTheme="minorHAnsi" w:hAnsiTheme="minorHAnsi" w:cstheme="minorHAnsi"/>
          <w:bCs/>
          <w:iCs/>
          <w:color w:val="000000"/>
          <w:sz w:val="22"/>
          <w:szCs w:val="22"/>
        </w:rPr>
        <w:t xml:space="preserve"> A cet égard, l’OTW </w:t>
      </w:r>
      <w:r w:rsidR="00F24C16">
        <w:rPr>
          <w:rFonts w:asciiTheme="minorHAnsi" w:hAnsiTheme="minorHAnsi" w:cstheme="minorHAnsi"/>
          <w:bCs/>
          <w:iCs/>
          <w:color w:val="000000"/>
          <w:sz w:val="22"/>
          <w:szCs w:val="22"/>
        </w:rPr>
        <w:t xml:space="preserve">invoque </w:t>
      </w:r>
      <w:r w:rsidR="0087134C">
        <w:rPr>
          <w:rFonts w:asciiTheme="minorHAnsi" w:hAnsiTheme="minorHAnsi" w:cstheme="minorHAnsi"/>
          <w:bCs/>
          <w:iCs/>
          <w:color w:val="000000"/>
          <w:sz w:val="22"/>
          <w:szCs w:val="22"/>
        </w:rPr>
        <w:t xml:space="preserve">le protocole </w:t>
      </w:r>
      <w:r w:rsidR="00DE2DDC">
        <w:rPr>
          <w:rFonts w:asciiTheme="minorHAnsi" w:hAnsiTheme="minorHAnsi" w:cstheme="minorHAnsi"/>
          <w:bCs/>
          <w:iCs/>
          <w:color w:val="000000"/>
          <w:sz w:val="22"/>
          <w:szCs w:val="22"/>
        </w:rPr>
        <w:t>du 19 juillet 2007</w:t>
      </w:r>
      <w:r w:rsidR="00B12549" w:rsidRPr="00B12549">
        <w:t xml:space="preserve"> </w:t>
      </w:r>
      <w:r w:rsidR="00B12549" w:rsidRPr="00B12549">
        <w:rPr>
          <w:rFonts w:asciiTheme="minorHAnsi" w:hAnsiTheme="minorHAnsi" w:cstheme="minorHAnsi"/>
          <w:bCs/>
          <w:iCs/>
          <w:color w:val="000000"/>
          <w:sz w:val="22"/>
          <w:szCs w:val="22"/>
        </w:rPr>
        <w:t>relatif au concept d’aménagements</w:t>
      </w:r>
      <w:r w:rsidR="00B12549">
        <w:rPr>
          <w:rFonts w:asciiTheme="minorHAnsi" w:hAnsiTheme="minorHAnsi" w:cstheme="minorHAnsi"/>
          <w:bCs/>
          <w:iCs/>
          <w:color w:val="000000"/>
          <w:sz w:val="22"/>
          <w:szCs w:val="22"/>
        </w:rPr>
        <w:t xml:space="preserve"> </w:t>
      </w:r>
      <w:r w:rsidR="00B12549" w:rsidRPr="00B12549">
        <w:rPr>
          <w:rFonts w:asciiTheme="minorHAnsi" w:hAnsiTheme="minorHAnsi" w:cstheme="minorHAnsi"/>
          <w:bCs/>
          <w:iCs/>
          <w:color w:val="000000"/>
          <w:sz w:val="22"/>
          <w:szCs w:val="22"/>
        </w:rPr>
        <w:t>raisonnables en Belgique en vertu de la loi</w:t>
      </w:r>
      <w:r w:rsidR="00B12549">
        <w:rPr>
          <w:rFonts w:asciiTheme="minorHAnsi" w:hAnsiTheme="minorHAnsi" w:cstheme="minorHAnsi"/>
          <w:bCs/>
          <w:iCs/>
          <w:color w:val="000000"/>
          <w:sz w:val="22"/>
          <w:szCs w:val="22"/>
        </w:rPr>
        <w:t xml:space="preserve"> </w:t>
      </w:r>
      <w:r w:rsidR="00B12549" w:rsidRPr="00B12549">
        <w:rPr>
          <w:rFonts w:asciiTheme="minorHAnsi" w:hAnsiTheme="minorHAnsi" w:cstheme="minorHAnsi"/>
          <w:bCs/>
          <w:iCs/>
          <w:color w:val="000000"/>
          <w:sz w:val="22"/>
          <w:szCs w:val="22"/>
        </w:rPr>
        <w:t>du 25 février 2003</w:t>
      </w:r>
      <w:r w:rsidR="001A0E08">
        <w:rPr>
          <w:rStyle w:val="Appelnotedebasdep"/>
          <w:rFonts w:asciiTheme="minorHAnsi" w:hAnsiTheme="minorHAnsi" w:cstheme="minorHAnsi"/>
          <w:bCs/>
          <w:iCs/>
          <w:color w:val="000000"/>
          <w:sz w:val="22"/>
          <w:szCs w:val="22"/>
        </w:rPr>
        <w:footnoteReference w:id="14"/>
      </w:r>
      <w:r w:rsidR="00B12549" w:rsidRPr="00B12549">
        <w:rPr>
          <w:rFonts w:asciiTheme="minorHAnsi" w:hAnsiTheme="minorHAnsi" w:cstheme="minorHAnsi"/>
          <w:bCs/>
          <w:iCs/>
          <w:color w:val="000000"/>
          <w:sz w:val="22"/>
          <w:szCs w:val="22"/>
        </w:rPr>
        <w:t xml:space="preserve"> tendant à lutter contre la</w:t>
      </w:r>
      <w:r w:rsidR="00B12549">
        <w:rPr>
          <w:rFonts w:asciiTheme="minorHAnsi" w:hAnsiTheme="minorHAnsi" w:cstheme="minorHAnsi"/>
          <w:bCs/>
          <w:iCs/>
          <w:color w:val="000000"/>
          <w:sz w:val="22"/>
          <w:szCs w:val="22"/>
        </w:rPr>
        <w:t xml:space="preserve"> </w:t>
      </w:r>
      <w:r w:rsidR="00B12549" w:rsidRPr="00B12549">
        <w:rPr>
          <w:rFonts w:asciiTheme="minorHAnsi" w:hAnsiTheme="minorHAnsi" w:cstheme="minorHAnsi"/>
          <w:bCs/>
          <w:iCs/>
          <w:color w:val="000000"/>
          <w:sz w:val="22"/>
          <w:szCs w:val="22"/>
        </w:rPr>
        <w:t>discrimination</w:t>
      </w:r>
      <w:r w:rsidR="00DE2DDC" w:rsidRPr="00B12549">
        <w:rPr>
          <w:rFonts w:asciiTheme="minorHAnsi" w:hAnsiTheme="minorHAnsi" w:cstheme="minorHAnsi"/>
          <w:bCs/>
          <w:iCs/>
          <w:color w:val="000000"/>
          <w:sz w:val="22"/>
          <w:szCs w:val="22"/>
        </w:rPr>
        <w:t xml:space="preserve"> </w:t>
      </w:r>
      <w:r w:rsidR="00517313">
        <w:rPr>
          <w:rFonts w:asciiTheme="minorHAnsi" w:hAnsiTheme="minorHAnsi" w:cstheme="minorHAnsi"/>
          <w:bCs/>
          <w:iCs/>
          <w:color w:val="000000"/>
          <w:sz w:val="22"/>
          <w:szCs w:val="22"/>
        </w:rPr>
        <w:t>et qui, en son article 2, évoque plusieurs indicateurs à prendre en compte pour apprécier le caractère raisonnable d’un aménagement</w:t>
      </w:r>
      <w:r w:rsidR="001A0E08">
        <w:rPr>
          <w:rFonts w:asciiTheme="minorHAnsi" w:hAnsiTheme="minorHAnsi" w:cstheme="minorHAnsi"/>
          <w:bCs/>
          <w:iCs/>
          <w:color w:val="000000"/>
          <w:sz w:val="22"/>
          <w:szCs w:val="22"/>
        </w:rPr>
        <w:t>.</w:t>
      </w:r>
      <w:r w:rsidR="00400529">
        <w:rPr>
          <w:rFonts w:asciiTheme="minorHAnsi" w:hAnsiTheme="minorHAnsi" w:cstheme="minorHAnsi"/>
          <w:bCs/>
          <w:iCs/>
          <w:color w:val="000000"/>
          <w:sz w:val="22"/>
          <w:szCs w:val="22"/>
        </w:rPr>
        <w:t xml:space="preserve"> </w:t>
      </w:r>
    </w:p>
    <w:p w14:paraId="7207A898" w14:textId="77777777" w:rsidR="002B6192" w:rsidRDefault="002B6192"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p>
    <w:p w14:paraId="414BB4F3" w14:textId="6CFFEFDA" w:rsidR="005D0A89" w:rsidRDefault="003C59EF" w:rsidP="001A0E08">
      <w:pPr>
        <w:pStyle w:val="Liste"/>
        <w:spacing w:before="100" w:beforeAutospacing="1" w:after="100" w:afterAutospacing="1"/>
        <w:ind w:left="0" w:firstLine="0"/>
        <w:contextualSpacing/>
        <w:jc w:val="both"/>
        <w:rPr>
          <w:rFonts w:asciiTheme="minorHAnsi" w:hAnsiTheme="minorHAnsi" w:cstheme="minorHAnsi"/>
          <w:bCs/>
          <w:iCs/>
          <w:color w:val="000000"/>
          <w:sz w:val="22"/>
          <w:szCs w:val="22"/>
        </w:rPr>
      </w:pPr>
      <w:r>
        <w:rPr>
          <w:rFonts w:asciiTheme="minorHAnsi" w:hAnsiTheme="minorHAnsi" w:cstheme="minorHAnsi"/>
          <w:bCs/>
          <w:iCs/>
          <w:color w:val="000000"/>
          <w:sz w:val="22"/>
          <w:szCs w:val="22"/>
        </w:rPr>
        <w:t>L</w:t>
      </w:r>
      <w:r w:rsidR="00400529">
        <w:rPr>
          <w:rFonts w:asciiTheme="minorHAnsi" w:hAnsiTheme="minorHAnsi" w:cstheme="minorHAnsi"/>
          <w:bCs/>
          <w:iCs/>
          <w:color w:val="000000"/>
          <w:sz w:val="22"/>
          <w:szCs w:val="22"/>
        </w:rPr>
        <w:t xml:space="preserve">’OTW </w:t>
      </w:r>
      <w:r>
        <w:rPr>
          <w:rFonts w:asciiTheme="minorHAnsi" w:hAnsiTheme="minorHAnsi" w:cstheme="minorHAnsi"/>
          <w:bCs/>
          <w:iCs/>
          <w:color w:val="000000"/>
          <w:sz w:val="22"/>
          <w:szCs w:val="22"/>
        </w:rPr>
        <w:t>m</w:t>
      </w:r>
      <w:r w:rsidR="00400529">
        <w:rPr>
          <w:rFonts w:asciiTheme="minorHAnsi" w:hAnsiTheme="minorHAnsi" w:cstheme="minorHAnsi"/>
          <w:bCs/>
          <w:iCs/>
          <w:color w:val="000000"/>
          <w:sz w:val="22"/>
          <w:szCs w:val="22"/>
        </w:rPr>
        <w:t>et l’emphase sur l</w:t>
      </w:r>
      <w:r w:rsidR="00D25B2D">
        <w:rPr>
          <w:rFonts w:asciiTheme="minorHAnsi" w:hAnsiTheme="minorHAnsi" w:cstheme="minorHAnsi"/>
          <w:bCs/>
          <w:iCs/>
          <w:color w:val="000000"/>
          <w:sz w:val="22"/>
          <w:szCs w:val="22"/>
        </w:rPr>
        <w:t xml:space="preserve">es </w:t>
      </w:r>
      <w:r w:rsidR="00400529">
        <w:rPr>
          <w:rFonts w:asciiTheme="minorHAnsi" w:hAnsiTheme="minorHAnsi" w:cstheme="minorHAnsi"/>
          <w:bCs/>
          <w:iCs/>
          <w:color w:val="000000"/>
          <w:sz w:val="22"/>
          <w:szCs w:val="22"/>
        </w:rPr>
        <w:t>impact</w:t>
      </w:r>
      <w:r w:rsidR="00D25B2D">
        <w:rPr>
          <w:rFonts w:asciiTheme="minorHAnsi" w:hAnsiTheme="minorHAnsi" w:cstheme="minorHAnsi"/>
          <w:bCs/>
          <w:iCs/>
          <w:color w:val="000000"/>
          <w:sz w:val="22"/>
          <w:szCs w:val="22"/>
        </w:rPr>
        <w:t>s</w:t>
      </w:r>
      <w:r w:rsidR="00400529">
        <w:rPr>
          <w:rFonts w:asciiTheme="minorHAnsi" w:hAnsiTheme="minorHAnsi" w:cstheme="minorHAnsi"/>
          <w:bCs/>
          <w:iCs/>
          <w:color w:val="000000"/>
          <w:sz w:val="22"/>
          <w:szCs w:val="22"/>
        </w:rPr>
        <w:t xml:space="preserve"> organisationnel</w:t>
      </w:r>
      <w:r w:rsidR="00D25B2D">
        <w:rPr>
          <w:rFonts w:asciiTheme="minorHAnsi" w:hAnsiTheme="minorHAnsi" w:cstheme="minorHAnsi"/>
          <w:bCs/>
          <w:iCs/>
          <w:color w:val="000000"/>
          <w:sz w:val="22"/>
          <w:szCs w:val="22"/>
        </w:rPr>
        <w:t>s et financiers</w:t>
      </w:r>
      <w:r w:rsidR="00A42ECF">
        <w:rPr>
          <w:rFonts w:asciiTheme="minorHAnsi" w:hAnsiTheme="minorHAnsi" w:cstheme="minorHAnsi"/>
          <w:bCs/>
          <w:iCs/>
          <w:color w:val="000000"/>
          <w:sz w:val="22"/>
          <w:szCs w:val="22"/>
        </w:rPr>
        <w:t xml:space="preserve">. </w:t>
      </w:r>
    </w:p>
    <w:p w14:paraId="56FEA41C" w14:textId="77777777" w:rsidR="001D5C95" w:rsidRPr="006E3CAB" w:rsidRDefault="001D5C95"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35CDEBC3" w14:textId="0699BB10" w:rsidR="00B743B3" w:rsidRPr="008A5B92" w:rsidRDefault="001D1201" w:rsidP="00D368C9">
      <w:pPr>
        <w:pStyle w:val="Liste"/>
        <w:spacing w:before="100" w:beforeAutospacing="1" w:after="100" w:afterAutospacing="1"/>
        <w:ind w:left="0" w:firstLine="0"/>
        <w:contextualSpacing/>
        <w:jc w:val="both"/>
        <w:rPr>
          <w:rFonts w:asciiTheme="minorHAnsi" w:hAnsiTheme="minorHAnsi" w:cstheme="minorHAnsi"/>
          <w:sz w:val="22"/>
          <w:szCs w:val="22"/>
        </w:rPr>
      </w:pPr>
      <w:r>
        <w:rPr>
          <w:rFonts w:asciiTheme="minorHAnsi" w:hAnsiTheme="minorHAnsi" w:cstheme="minorHAnsi"/>
          <w:sz w:val="22"/>
          <w:szCs w:val="22"/>
        </w:rPr>
        <w:t>L’objectif visé par la limitation de la possibilité d</w:t>
      </w:r>
      <w:r w:rsidR="007D3E75">
        <w:rPr>
          <w:rFonts w:asciiTheme="minorHAnsi" w:hAnsiTheme="minorHAnsi" w:cstheme="minorHAnsi"/>
          <w:sz w:val="22"/>
          <w:szCs w:val="22"/>
        </w:rPr>
        <w:t>e</w:t>
      </w:r>
      <w:r w:rsidR="001D5C95" w:rsidRPr="006E3CAB">
        <w:rPr>
          <w:rFonts w:asciiTheme="minorHAnsi" w:hAnsiTheme="minorHAnsi" w:cstheme="minorHAnsi"/>
          <w:sz w:val="22"/>
          <w:szCs w:val="22"/>
        </w:rPr>
        <w:t xml:space="preserve"> mi-temps permanents ou de longue durée, négociée entre partenaires sociaux, était fondée sur le </w:t>
      </w:r>
      <w:r w:rsidR="00B743B3" w:rsidRPr="006E3CAB">
        <w:rPr>
          <w:rFonts w:asciiTheme="minorHAnsi" w:hAnsiTheme="minorHAnsi" w:cstheme="minorHAnsi"/>
          <w:sz w:val="22"/>
          <w:szCs w:val="22"/>
        </w:rPr>
        <w:t>souhait</w:t>
      </w:r>
      <w:r w:rsidR="001D5C95" w:rsidRPr="006E3CAB">
        <w:rPr>
          <w:rFonts w:asciiTheme="minorHAnsi" w:hAnsiTheme="minorHAnsi" w:cstheme="minorHAnsi"/>
          <w:sz w:val="22"/>
          <w:szCs w:val="22"/>
        </w:rPr>
        <w:t xml:space="preserve"> pour l’employeur de n</w:t>
      </w:r>
      <w:r w:rsidR="00B743B3" w:rsidRPr="006E3CAB">
        <w:rPr>
          <w:rFonts w:asciiTheme="minorHAnsi" w:hAnsiTheme="minorHAnsi" w:cstheme="minorHAnsi"/>
          <w:sz w:val="22"/>
          <w:szCs w:val="22"/>
        </w:rPr>
        <w:t xml:space="preserve">e disposer que de </w:t>
      </w:r>
      <w:r w:rsidR="00B743B3" w:rsidRPr="008A5B92">
        <w:rPr>
          <w:rFonts w:asciiTheme="minorHAnsi" w:hAnsiTheme="minorHAnsi" w:cstheme="minorHAnsi"/>
          <w:sz w:val="22"/>
          <w:szCs w:val="22"/>
        </w:rPr>
        <w:t xml:space="preserve">chauffeurs à temps plein, car organiser et planifier leur travail est </w:t>
      </w:r>
      <w:r w:rsidR="007C06D8" w:rsidRPr="008A5B92">
        <w:rPr>
          <w:rFonts w:asciiTheme="minorHAnsi" w:hAnsiTheme="minorHAnsi" w:cstheme="minorHAnsi"/>
          <w:sz w:val="22"/>
          <w:szCs w:val="22"/>
        </w:rPr>
        <w:t xml:space="preserve">un </w:t>
      </w:r>
      <w:r w:rsidR="001D5C95" w:rsidRPr="008A5B92">
        <w:rPr>
          <w:rFonts w:asciiTheme="minorHAnsi" w:hAnsiTheme="minorHAnsi" w:cstheme="minorHAnsi"/>
          <w:sz w:val="22"/>
          <w:szCs w:val="22"/>
        </w:rPr>
        <w:t>véritable casse-tête (système de roulements)</w:t>
      </w:r>
      <w:r w:rsidR="007C06D8" w:rsidRPr="008A5B92">
        <w:rPr>
          <w:rFonts w:asciiTheme="minorHAnsi" w:hAnsiTheme="minorHAnsi" w:cstheme="minorHAnsi"/>
          <w:sz w:val="22"/>
          <w:szCs w:val="22"/>
        </w:rPr>
        <w:t xml:space="preserve">. </w:t>
      </w:r>
      <w:r w:rsidR="00B50F0E" w:rsidRPr="008A5B92">
        <w:rPr>
          <w:rFonts w:asciiTheme="minorHAnsi" w:hAnsiTheme="minorHAnsi" w:cstheme="minorHAnsi"/>
          <w:sz w:val="22"/>
          <w:szCs w:val="22"/>
        </w:rPr>
        <w:t>Cela avait également pour but d’</w:t>
      </w:r>
      <w:r w:rsidR="001D5C95" w:rsidRPr="008A5B92">
        <w:rPr>
          <w:rFonts w:asciiTheme="minorHAnsi" w:hAnsiTheme="minorHAnsi" w:cstheme="minorHAnsi"/>
          <w:sz w:val="22"/>
          <w:szCs w:val="22"/>
        </w:rPr>
        <w:t xml:space="preserve">éviter </w:t>
      </w:r>
      <w:r w:rsidR="00B50F0E" w:rsidRPr="008A5B92">
        <w:rPr>
          <w:rFonts w:asciiTheme="minorHAnsi" w:hAnsiTheme="minorHAnsi" w:cstheme="minorHAnsi"/>
          <w:sz w:val="22"/>
          <w:szCs w:val="22"/>
        </w:rPr>
        <w:t>l</w:t>
      </w:r>
      <w:r w:rsidR="001D5C95" w:rsidRPr="008A5B92">
        <w:rPr>
          <w:rFonts w:asciiTheme="minorHAnsi" w:hAnsiTheme="minorHAnsi" w:cstheme="minorHAnsi"/>
          <w:sz w:val="22"/>
          <w:szCs w:val="22"/>
        </w:rPr>
        <w:t>es abus...</w:t>
      </w:r>
    </w:p>
    <w:p w14:paraId="317FB549" w14:textId="0B5A8BD0" w:rsidR="001D5C95" w:rsidRPr="006E3CAB" w:rsidRDefault="001D5C95"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5F47427A" w14:textId="5BA54813" w:rsidR="00EE2560" w:rsidRPr="006E3CAB" w:rsidRDefault="001D5C95"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Organiser le travail des chauffeurs, dans le cadre d’un grand réseau réparti sur toute la Wallonie, est complexe.</w:t>
      </w:r>
      <w:r w:rsidR="008C33D0" w:rsidRPr="006E3CAB">
        <w:rPr>
          <w:rFonts w:asciiTheme="minorHAnsi" w:hAnsiTheme="minorHAnsi" w:cstheme="minorHAnsi"/>
          <w:sz w:val="22"/>
          <w:szCs w:val="22"/>
        </w:rPr>
        <w:t xml:space="preserve"> </w:t>
      </w:r>
      <w:r w:rsidRPr="006E3CAB">
        <w:rPr>
          <w:rFonts w:asciiTheme="minorHAnsi" w:hAnsiTheme="minorHAnsi" w:cstheme="minorHAnsi"/>
          <w:sz w:val="22"/>
          <w:szCs w:val="22"/>
        </w:rPr>
        <w:t>Chaque ligne de bus doit en principe fonctionner entre 5h et 23h.  Les dépôts sont nombreux.</w:t>
      </w:r>
      <w:r w:rsidR="008C33D0" w:rsidRPr="006E3CAB">
        <w:rPr>
          <w:rFonts w:asciiTheme="minorHAnsi" w:hAnsiTheme="minorHAnsi" w:cstheme="minorHAnsi"/>
          <w:sz w:val="22"/>
          <w:szCs w:val="22"/>
        </w:rPr>
        <w:t xml:space="preserve"> </w:t>
      </w:r>
      <w:r w:rsidR="00732371" w:rsidRPr="006E3CAB">
        <w:rPr>
          <w:rFonts w:asciiTheme="minorHAnsi" w:hAnsiTheme="minorHAnsi" w:cstheme="minorHAnsi"/>
          <w:sz w:val="22"/>
          <w:szCs w:val="22"/>
        </w:rPr>
        <w:t>Les lignes sont très nombreuses, les changements fréquents.</w:t>
      </w:r>
      <w:r w:rsidR="008C33D0" w:rsidRPr="006E3CAB">
        <w:rPr>
          <w:rFonts w:asciiTheme="minorHAnsi" w:hAnsiTheme="minorHAnsi" w:cstheme="minorHAnsi"/>
          <w:sz w:val="22"/>
          <w:szCs w:val="22"/>
        </w:rPr>
        <w:t xml:space="preserve"> </w:t>
      </w:r>
      <w:r w:rsidR="000B6CA0">
        <w:rPr>
          <w:rFonts w:asciiTheme="minorHAnsi" w:hAnsiTheme="minorHAnsi" w:cstheme="minorHAnsi"/>
          <w:sz w:val="22"/>
          <w:szCs w:val="22"/>
        </w:rPr>
        <w:t>Par ailleurs, les différentes graphiques déposés par l’OTW ne permettent pas du douter de la complexité d’un tel système.</w:t>
      </w:r>
    </w:p>
    <w:p w14:paraId="411D5466" w14:textId="77777777" w:rsidR="00EE2560" w:rsidRPr="006E3CAB" w:rsidRDefault="00EE2560"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0CC204D7" w14:textId="29B9E9FB" w:rsidR="00732371" w:rsidRDefault="00732371"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Rationnaliser cela de façon claire et identique pour tous peut c</w:t>
      </w:r>
      <w:r w:rsidR="00C0139A">
        <w:rPr>
          <w:rFonts w:asciiTheme="minorHAnsi" w:hAnsiTheme="minorHAnsi" w:cstheme="minorHAnsi"/>
          <w:sz w:val="22"/>
          <w:szCs w:val="22"/>
        </w:rPr>
        <w:t>ertes, c</w:t>
      </w:r>
      <w:r w:rsidRPr="006E3CAB">
        <w:rPr>
          <w:rFonts w:asciiTheme="minorHAnsi" w:hAnsiTheme="minorHAnsi" w:cstheme="minorHAnsi"/>
          <w:sz w:val="22"/>
          <w:szCs w:val="22"/>
        </w:rPr>
        <w:t>onstituer u</w:t>
      </w:r>
      <w:r w:rsidR="00C0139A">
        <w:rPr>
          <w:rFonts w:asciiTheme="minorHAnsi" w:hAnsiTheme="minorHAnsi" w:cstheme="minorHAnsi"/>
          <w:sz w:val="22"/>
          <w:szCs w:val="22"/>
        </w:rPr>
        <w:t>ne charge</w:t>
      </w:r>
      <w:r w:rsidRPr="006E3CAB">
        <w:rPr>
          <w:rFonts w:asciiTheme="minorHAnsi" w:hAnsiTheme="minorHAnsi" w:cstheme="minorHAnsi"/>
          <w:sz w:val="22"/>
          <w:szCs w:val="22"/>
        </w:rPr>
        <w:t>.</w:t>
      </w:r>
      <w:r w:rsidR="00C0139A">
        <w:rPr>
          <w:rFonts w:asciiTheme="minorHAnsi" w:hAnsiTheme="minorHAnsi" w:cstheme="minorHAnsi"/>
          <w:sz w:val="22"/>
          <w:szCs w:val="22"/>
        </w:rPr>
        <w:t xml:space="preserve"> Peut-on considérer pour autant que cette charge soit </w:t>
      </w:r>
      <w:r w:rsidR="008A5B92">
        <w:rPr>
          <w:rFonts w:asciiTheme="minorHAnsi" w:hAnsiTheme="minorHAnsi" w:cstheme="minorHAnsi"/>
          <w:sz w:val="22"/>
          <w:szCs w:val="22"/>
        </w:rPr>
        <w:t xml:space="preserve">disproportionnée ? </w:t>
      </w:r>
    </w:p>
    <w:p w14:paraId="3BBB189E" w14:textId="77777777" w:rsidR="00787F87" w:rsidRDefault="00787F87"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429C9DBD" w14:textId="3CE17882" w:rsidR="00787F87" w:rsidRDefault="00787F87" w:rsidP="00787F87">
      <w:pPr>
        <w:pStyle w:val="Liste"/>
        <w:spacing w:before="100" w:beforeAutospacing="1" w:after="100" w:afterAutospacing="1"/>
        <w:ind w:left="0"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Le Tribunal ne le pense pas. </w:t>
      </w:r>
      <w:r w:rsidRPr="006E3CAB">
        <w:rPr>
          <w:rFonts w:asciiTheme="minorHAnsi" w:hAnsiTheme="minorHAnsi" w:cstheme="minorHAnsi"/>
          <w:sz w:val="22"/>
          <w:szCs w:val="22"/>
        </w:rPr>
        <w:t xml:space="preserve">Donner la priorité au temps-plein peut </w:t>
      </w:r>
      <w:r>
        <w:rPr>
          <w:rFonts w:asciiTheme="minorHAnsi" w:hAnsiTheme="minorHAnsi" w:cstheme="minorHAnsi"/>
          <w:sz w:val="22"/>
          <w:szCs w:val="22"/>
        </w:rPr>
        <w:t>s’entendre</w:t>
      </w:r>
      <w:r w:rsidRPr="006E3CAB">
        <w:rPr>
          <w:rFonts w:asciiTheme="minorHAnsi" w:hAnsiTheme="minorHAnsi" w:cstheme="minorHAnsi"/>
          <w:sz w:val="22"/>
          <w:szCs w:val="22"/>
        </w:rPr>
        <w:t xml:space="preserve">. Mais le faire de façon excessivement rigide ne l’est sans doute pas. </w:t>
      </w:r>
      <w:r>
        <w:rPr>
          <w:rFonts w:asciiTheme="minorHAnsi" w:hAnsiTheme="minorHAnsi" w:cstheme="minorHAnsi"/>
          <w:sz w:val="22"/>
          <w:szCs w:val="22"/>
        </w:rPr>
        <w:t xml:space="preserve">En effet, </w:t>
      </w:r>
      <w:r w:rsidRPr="006E3CAB">
        <w:rPr>
          <w:rFonts w:asciiTheme="minorHAnsi" w:hAnsiTheme="minorHAnsi" w:cstheme="minorHAnsi"/>
          <w:sz w:val="22"/>
          <w:szCs w:val="22"/>
        </w:rPr>
        <w:t xml:space="preserve">cette application rigide de la règle générale, sans laisser la moindre place aux exceptions légitimes, conduit à violer le principe de non-discrimination concernant les critères protégés par </w:t>
      </w:r>
      <w:r w:rsidR="00725337">
        <w:rPr>
          <w:rFonts w:asciiTheme="minorHAnsi" w:hAnsiTheme="minorHAnsi" w:cstheme="minorHAnsi"/>
          <w:sz w:val="22"/>
          <w:szCs w:val="22"/>
        </w:rPr>
        <w:t>le décret de 2008</w:t>
      </w:r>
      <w:r>
        <w:rPr>
          <w:rFonts w:asciiTheme="minorHAnsi" w:hAnsiTheme="minorHAnsi" w:cstheme="minorHAnsi"/>
          <w:sz w:val="22"/>
          <w:szCs w:val="22"/>
        </w:rPr>
        <w:t>.</w:t>
      </w:r>
    </w:p>
    <w:p w14:paraId="3D882BDA" w14:textId="77777777" w:rsidR="00E34CAA" w:rsidRDefault="00E34CAA" w:rsidP="00787F87">
      <w:pPr>
        <w:pStyle w:val="Liste"/>
        <w:spacing w:before="100" w:beforeAutospacing="1" w:after="100" w:afterAutospacing="1"/>
        <w:ind w:left="0" w:firstLine="0"/>
        <w:contextualSpacing/>
        <w:jc w:val="both"/>
        <w:rPr>
          <w:rFonts w:asciiTheme="minorHAnsi" w:hAnsiTheme="minorHAnsi" w:cstheme="minorHAnsi"/>
          <w:sz w:val="22"/>
          <w:szCs w:val="22"/>
        </w:rPr>
      </w:pPr>
    </w:p>
    <w:p w14:paraId="6E3894F4" w14:textId="5233ED00" w:rsidR="00E34CAA" w:rsidRDefault="00E34CAA" w:rsidP="00E34CAA">
      <w:pPr>
        <w:pStyle w:val="Liste"/>
        <w:spacing w:before="100" w:beforeAutospacing="1" w:after="100" w:afterAutospacing="1"/>
        <w:ind w:left="0" w:firstLine="0"/>
        <w:contextualSpacing/>
        <w:jc w:val="both"/>
        <w:rPr>
          <w:rFonts w:asciiTheme="minorHAnsi" w:hAnsiTheme="minorHAnsi" w:cstheme="minorHAnsi"/>
          <w:sz w:val="22"/>
          <w:szCs w:val="22"/>
        </w:rPr>
      </w:pPr>
      <w:r w:rsidRPr="006E3CAB">
        <w:rPr>
          <w:rFonts w:asciiTheme="minorHAnsi" w:hAnsiTheme="minorHAnsi" w:cstheme="minorHAnsi"/>
          <w:sz w:val="22"/>
          <w:szCs w:val="22"/>
        </w:rPr>
        <w:t xml:space="preserve">Force est de constater que malgré les difficultés d’organisation, il est possible d’accorder un horaire à mi-temps durant 3 mois, prolongé de 3 mois, dans le cadre de la CCT. Monsieur </w:t>
      </w:r>
      <w:r w:rsidR="00AC7907">
        <w:rPr>
          <w:rFonts w:asciiTheme="minorHAnsi" w:hAnsiTheme="minorHAnsi" w:cstheme="minorHAnsi"/>
          <w:sz w:val="22"/>
          <w:szCs w:val="22"/>
        </w:rPr>
        <w:t>P</w:t>
      </w:r>
      <w:r w:rsidRPr="006E3CAB">
        <w:rPr>
          <w:rFonts w:asciiTheme="minorHAnsi" w:hAnsiTheme="minorHAnsi" w:cstheme="minorHAnsi"/>
          <w:sz w:val="22"/>
          <w:szCs w:val="22"/>
        </w:rPr>
        <w:t xml:space="preserve"> a d’ailleurs bénéficié de cette possibilité jusqu’au 30 juin 2021. Matériellement, c’est donc possible, même si cela doit être compliqué.</w:t>
      </w:r>
    </w:p>
    <w:p w14:paraId="538ECD56" w14:textId="77777777" w:rsidR="00344C2B" w:rsidRDefault="00344C2B" w:rsidP="002F7642">
      <w:pPr>
        <w:pStyle w:val="Liste"/>
        <w:ind w:left="0" w:firstLine="0"/>
        <w:jc w:val="both"/>
        <w:rPr>
          <w:rFonts w:asciiTheme="minorHAnsi" w:hAnsiTheme="minorHAnsi"/>
          <w:sz w:val="22"/>
          <w:szCs w:val="22"/>
        </w:rPr>
      </w:pPr>
    </w:p>
    <w:p w14:paraId="404E0FCF" w14:textId="092B2689" w:rsidR="002F7642" w:rsidRPr="005979CF" w:rsidRDefault="002F7642" w:rsidP="002F7642">
      <w:pPr>
        <w:pStyle w:val="Liste"/>
        <w:ind w:left="0" w:firstLine="0"/>
        <w:jc w:val="both"/>
        <w:rPr>
          <w:rFonts w:asciiTheme="minorHAnsi" w:hAnsiTheme="minorHAnsi"/>
          <w:sz w:val="22"/>
          <w:szCs w:val="22"/>
        </w:rPr>
      </w:pPr>
      <w:r w:rsidRPr="005979CF">
        <w:rPr>
          <w:rFonts w:asciiTheme="minorHAnsi" w:hAnsiTheme="minorHAnsi"/>
          <w:sz w:val="22"/>
          <w:szCs w:val="22"/>
        </w:rPr>
        <w:t xml:space="preserve">Dans le même ordre d’idées, le tribunal note que des aménagements raisonnables peuvent permettre à Monsieur </w:t>
      </w:r>
      <w:r w:rsidR="00AC7907">
        <w:rPr>
          <w:rFonts w:asciiTheme="minorHAnsi" w:hAnsiTheme="minorHAnsi"/>
          <w:sz w:val="22"/>
          <w:szCs w:val="22"/>
        </w:rPr>
        <w:t>P</w:t>
      </w:r>
      <w:r w:rsidRPr="005979CF">
        <w:rPr>
          <w:rFonts w:asciiTheme="minorHAnsi" w:hAnsiTheme="minorHAnsi"/>
          <w:sz w:val="22"/>
          <w:szCs w:val="22"/>
        </w:rPr>
        <w:t xml:space="preserve"> de ne pas être discriminé en raison de son handicap, et de reprendre le travail dans les  meilleures conditions, à savoir le passage par un mi-temps médical pour une période prolongée, et espérons-le une reprise à temps plein du travail dans un délai raisonnable.</w:t>
      </w:r>
    </w:p>
    <w:p w14:paraId="0DC13C74" w14:textId="77777777" w:rsidR="002F7642" w:rsidRPr="005979CF" w:rsidRDefault="002F7642" w:rsidP="002F7642">
      <w:pPr>
        <w:pStyle w:val="Liste"/>
        <w:ind w:left="0" w:firstLine="0"/>
        <w:jc w:val="both"/>
        <w:rPr>
          <w:rFonts w:asciiTheme="minorHAnsi" w:hAnsiTheme="minorHAnsi"/>
          <w:sz w:val="22"/>
          <w:szCs w:val="22"/>
        </w:rPr>
      </w:pPr>
    </w:p>
    <w:p w14:paraId="4938E48A" w14:textId="34D14BF1" w:rsidR="002F7642" w:rsidRDefault="002F7642" w:rsidP="002F7642">
      <w:pPr>
        <w:pStyle w:val="Liste"/>
        <w:ind w:left="0" w:firstLine="0"/>
        <w:jc w:val="both"/>
        <w:rPr>
          <w:rFonts w:asciiTheme="minorHAnsi" w:hAnsiTheme="minorHAnsi"/>
          <w:sz w:val="22"/>
          <w:szCs w:val="22"/>
        </w:rPr>
      </w:pPr>
      <w:r w:rsidRPr="005979CF">
        <w:rPr>
          <w:rFonts w:asciiTheme="minorHAnsi" w:hAnsiTheme="minorHAnsi"/>
          <w:sz w:val="22"/>
          <w:szCs w:val="22"/>
        </w:rPr>
        <w:t xml:space="preserve">Tout trajet de réintégration suppose </w:t>
      </w:r>
      <w:r w:rsidR="008C2558">
        <w:rPr>
          <w:rFonts w:asciiTheme="minorHAnsi" w:hAnsiTheme="minorHAnsi"/>
          <w:sz w:val="22"/>
          <w:szCs w:val="22"/>
        </w:rPr>
        <w:t xml:space="preserve">en </w:t>
      </w:r>
      <w:r w:rsidR="008B3548">
        <w:rPr>
          <w:rFonts w:asciiTheme="minorHAnsi" w:hAnsiTheme="minorHAnsi"/>
          <w:sz w:val="22"/>
          <w:szCs w:val="22"/>
        </w:rPr>
        <w:t xml:space="preserve">général </w:t>
      </w:r>
      <w:r w:rsidRPr="005979CF">
        <w:rPr>
          <w:rFonts w:asciiTheme="minorHAnsi" w:hAnsiTheme="minorHAnsi"/>
          <w:sz w:val="22"/>
          <w:szCs w:val="22"/>
        </w:rPr>
        <w:t>une certaine progression dans la reprise du travail.</w:t>
      </w:r>
    </w:p>
    <w:p w14:paraId="26A45707" w14:textId="77777777" w:rsidR="002F7642" w:rsidRDefault="002F7642" w:rsidP="002F7642">
      <w:pPr>
        <w:pStyle w:val="Liste"/>
        <w:ind w:left="0" w:firstLine="0"/>
        <w:jc w:val="both"/>
        <w:rPr>
          <w:rFonts w:asciiTheme="minorHAnsi" w:hAnsiTheme="minorHAnsi"/>
          <w:sz w:val="22"/>
          <w:szCs w:val="22"/>
        </w:rPr>
      </w:pPr>
    </w:p>
    <w:p w14:paraId="09AB79AB" w14:textId="77777777" w:rsidR="002F7642" w:rsidRDefault="002F7642" w:rsidP="002F7642">
      <w:pPr>
        <w:pStyle w:val="Liste"/>
        <w:ind w:left="0" w:firstLine="0"/>
        <w:jc w:val="both"/>
        <w:rPr>
          <w:rFonts w:asciiTheme="minorHAnsi" w:hAnsiTheme="minorHAnsi"/>
          <w:sz w:val="22"/>
          <w:szCs w:val="22"/>
        </w:rPr>
      </w:pPr>
      <w:r>
        <w:rPr>
          <w:rFonts w:asciiTheme="minorHAnsi" w:hAnsiTheme="minorHAnsi"/>
          <w:sz w:val="22"/>
          <w:szCs w:val="22"/>
        </w:rPr>
        <w:t>Et une absence longue, prolongée et totale de tout travail rend plus difficile la reprise progressive du travail dans un cadre bienveillant avec pour objectif final la reprise du travail à temps plein.</w:t>
      </w:r>
    </w:p>
    <w:p w14:paraId="12674B99" w14:textId="77777777" w:rsidR="002F7642" w:rsidRDefault="002F7642" w:rsidP="002F7642">
      <w:pPr>
        <w:pStyle w:val="Liste"/>
        <w:ind w:left="0" w:firstLine="0"/>
        <w:jc w:val="both"/>
        <w:rPr>
          <w:rFonts w:asciiTheme="minorHAnsi" w:hAnsiTheme="minorHAnsi"/>
          <w:sz w:val="22"/>
          <w:szCs w:val="22"/>
        </w:rPr>
      </w:pPr>
    </w:p>
    <w:p w14:paraId="1FCBE215" w14:textId="77777777" w:rsidR="002F7642" w:rsidRDefault="002F7642" w:rsidP="002F7642">
      <w:pPr>
        <w:pStyle w:val="Liste"/>
        <w:ind w:left="0" w:firstLine="0"/>
        <w:jc w:val="both"/>
        <w:rPr>
          <w:rFonts w:asciiTheme="minorHAnsi" w:hAnsiTheme="minorHAnsi"/>
          <w:sz w:val="22"/>
          <w:szCs w:val="22"/>
        </w:rPr>
      </w:pPr>
      <w:r>
        <w:rPr>
          <w:rFonts w:asciiTheme="minorHAnsi" w:hAnsiTheme="minorHAnsi"/>
          <w:sz w:val="22"/>
          <w:szCs w:val="22"/>
        </w:rPr>
        <w:t>Des mesures ergonomiques peuvent parfois permettre une reprise de travail (adaptation du poste de travail, du siège, …), mais une adaptation du régime et de l’horaire de travail  sont souvent la solution indiquée.</w:t>
      </w:r>
    </w:p>
    <w:p w14:paraId="6BAD0DA0" w14:textId="77777777" w:rsidR="002F7642" w:rsidRDefault="002F7642" w:rsidP="002F7642">
      <w:pPr>
        <w:pStyle w:val="Liste"/>
        <w:ind w:left="0" w:firstLine="0"/>
        <w:jc w:val="both"/>
        <w:rPr>
          <w:rFonts w:asciiTheme="minorHAnsi" w:hAnsiTheme="minorHAnsi"/>
          <w:sz w:val="22"/>
          <w:szCs w:val="22"/>
        </w:rPr>
      </w:pPr>
    </w:p>
    <w:p w14:paraId="68F0B6B2" w14:textId="4A588466" w:rsidR="002F7642" w:rsidRDefault="002F7642" w:rsidP="002F7642">
      <w:pPr>
        <w:pStyle w:val="Liste"/>
        <w:ind w:left="0" w:firstLine="0"/>
        <w:jc w:val="both"/>
        <w:rPr>
          <w:rFonts w:asciiTheme="minorHAnsi" w:hAnsiTheme="minorHAnsi"/>
          <w:sz w:val="22"/>
          <w:szCs w:val="22"/>
        </w:rPr>
      </w:pPr>
      <w:r>
        <w:rPr>
          <w:rFonts w:asciiTheme="minorHAnsi" w:hAnsiTheme="minorHAnsi"/>
          <w:sz w:val="22"/>
          <w:szCs w:val="22"/>
        </w:rPr>
        <w:t>En l’espèce, c</w:t>
      </w:r>
      <w:r w:rsidR="008B3548">
        <w:rPr>
          <w:rFonts w:asciiTheme="minorHAnsi" w:hAnsiTheme="minorHAnsi"/>
          <w:sz w:val="22"/>
          <w:szCs w:val="22"/>
        </w:rPr>
        <w:t>e fût</w:t>
      </w:r>
      <w:r>
        <w:rPr>
          <w:rFonts w:asciiTheme="minorHAnsi" w:hAnsiTheme="minorHAnsi"/>
          <w:sz w:val="22"/>
          <w:szCs w:val="22"/>
        </w:rPr>
        <w:t xml:space="preserve"> la solution préconisée par le médecin de Monsieur </w:t>
      </w:r>
      <w:r w:rsidR="00AC7907">
        <w:rPr>
          <w:rFonts w:asciiTheme="minorHAnsi" w:hAnsiTheme="minorHAnsi"/>
          <w:sz w:val="22"/>
          <w:szCs w:val="22"/>
        </w:rPr>
        <w:t>P</w:t>
      </w:r>
      <w:r>
        <w:rPr>
          <w:rFonts w:asciiTheme="minorHAnsi" w:hAnsiTheme="minorHAnsi"/>
          <w:sz w:val="22"/>
          <w:szCs w:val="22"/>
        </w:rPr>
        <w:t>, par le médecin de sa mutualité, par le médecin du travail (le 29 juin 2021, c’est ce qu’il préconisait).</w:t>
      </w:r>
    </w:p>
    <w:p w14:paraId="759DC95D" w14:textId="77777777" w:rsidR="002F7642" w:rsidRDefault="002F7642" w:rsidP="002F7642">
      <w:pPr>
        <w:pStyle w:val="Liste"/>
        <w:ind w:left="0" w:firstLine="0"/>
        <w:jc w:val="both"/>
        <w:rPr>
          <w:rFonts w:asciiTheme="minorHAnsi" w:hAnsiTheme="minorHAnsi"/>
          <w:sz w:val="22"/>
          <w:szCs w:val="22"/>
        </w:rPr>
      </w:pPr>
    </w:p>
    <w:p w14:paraId="4142FAE8" w14:textId="47768031" w:rsidR="002F7642" w:rsidRDefault="002F7642" w:rsidP="002F7642">
      <w:pPr>
        <w:pStyle w:val="Liste"/>
        <w:ind w:left="0" w:firstLine="0"/>
        <w:jc w:val="both"/>
        <w:rPr>
          <w:rFonts w:asciiTheme="minorHAnsi" w:hAnsiTheme="minorHAnsi"/>
          <w:sz w:val="22"/>
          <w:szCs w:val="22"/>
        </w:rPr>
      </w:pPr>
      <w:r>
        <w:rPr>
          <w:rFonts w:asciiTheme="minorHAnsi" w:hAnsiTheme="minorHAnsi"/>
          <w:sz w:val="22"/>
          <w:szCs w:val="22"/>
        </w:rPr>
        <w:t xml:space="preserve">Ultérieurement (dans le cadre d’un examen de reprise), le médecin du travail renseignera sur le formulaire d’évaluation de santé que Monsieur </w:t>
      </w:r>
      <w:r w:rsidR="00AC7907">
        <w:rPr>
          <w:rFonts w:asciiTheme="minorHAnsi" w:hAnsiTheme="minorHAnsi"/>
          <w:sz w:val="22"/>
          <w:szCs w:val="22"/>
        </w:rPr>
        <w:t>P</w:t>
      </w:r>
      <w:r>
        <w:rPr>
          <w:rFonts w:asciiTheme="minorHAnsi" w:hAnsiTheme="minorHAnsi"/>
          <w:sz w:val="22"/>
          <w:szCs w:val="22"/>
        </w:rPr>
        <w:t xml:space="preserve"> avait les aptitudes suffisantes pour le pose auquel il est occupé, au motif selon Monsieur </w:t>
      </w:r>
      <w:r w:rsidR="00AC7907">
        <w:rPr>
          <w:rFonts w:asciiTheme="minorHAnsi" w:hAnsiTheme="minorHAnsi"/>
          <w:sz w:val="22"/>
          <w:szCs w:val="22"/>
        </w:rPr>
        <w:t>P</w:t>
      </w:r>
      <w:r>
        <w:rPr>
          <w:rFonts w:asciiTheme="minorHAnsi" w:hAnsiTheme="minorHAnsi"/>
          <w:sz w:val="22"/>
          <w:szCs w:val="22"/>
        </w:rPr>
        <w:t xml:space="preserve"> que le TEC ne permet pas un mi-temps médical au-delà de deux fois 3 mois.</w:t>
      </w:r>
    </w:p>
    <w:p w14:paraId="41A07584" w14:textId="77777777" w:rsidR="002F7642" w:rsidRDefault="002F7642" w:rsidP="002F7642">
      <w:pPr>
        <w:pStyle w:val="Liste"/>
        <w:ind w:left="0" w:firstLine="0"/>
        <w:jc w:val="both"/>
        <w:rPr>
          <w:rFonts w:asciiTheme="minorHAnsi" w:hAnsiTheme="minorHAnsi"/>
          <w:sz w:val="22"/>
          <w:szCs w:val="22"/>
        </w:rPr>
      </w:pPr>
    </w:p>
    <w:p w14:paraId="43C91D9F" w14:textId="0AFDBEBA" w:rsidR="002F7642" w:rsidRDefault="002F7642" w:rsidP="002F7642">
      <w:pPr>
        <w:pStyle w:val="Liste"/>
        <w:ind w:left="0" w:firstLine="0"/>
        <w:jc w:val="both"/>
        <w:rPr>
          <w:rFonts w:asciiTheme="minorHAnsi" w:hAnsiTheme="minorHAnsi"/>
          <w:sz w:val="22"/>
          <w:szCs w:val="22"/>
        </w:rPr>
      </w:pPr>
      <w:r>
        <w:rPr>
          <w:rFonts w:asciiTheme="minorHAnsi" w:hAnsiTheme="minorHAnsi"/>
          <w:sz w:val="22"/>
          <w:szCs w:val="22"/>
        </w:rPr>
        <w:t>Le 10</w:t>
      </w:r>
      <w:r w:rsidR="00DA6A6B">
        <w:rPr>
          <w:rFonts w:asciiTheme="minorHAnsi" w:hAnsiTheme="minorHAnsi"/>
          <w:sz w:val="22"/>
          <w:szCs w:val="22"/>
        </w:rPr>
        <w:t xml:space="preserve"> décembre </w:t>
      </w:r>
      <w:r>
        <w:rPr>
          <w:rFonts w:asciiTheme="minorHAnsi" w:hAnsiTheme="minorHAnsi"/>
          <w:sz w:val="22"/>
          <w:szCs w:val="22"/>
        </w:rPr>
        <w:t xml:space="preserve">2021, Monsieur </w:t>
      </w:r>
      <w:r w:rsidR="00AC7907">
        <w:rPr>
          <w:rFonts w:asciiTheme="minorHAnsi" w:hAnsiTheme="minorHAnsi"/>
          <w:sz w:val="22"/>
          <w:szCs w:val="22"/>
        </w:rPr>
        <w:t>P</w:t>
      </w:r>
      <w:r>
        <w:rPr>
          <w:rFonts w:asciiTheme="minorHAnsi" w:hAnsiTheme="minorHAnsi"/>
          <w:sz w:val="22"/>
          <w:szCs w:val="22"/>
        </w:rPr>
        <w:t xml:space="preserve"> interpellera le Contrôle du bien-être au travail sur cette attitude qu’il jugeait inadmissible.</w:t>
      </w:r>
    </w:p>
    <w:p w14:paraId="15824058" w14:textId="77777777" w:rsidR="002F7642" w:rsidRDefault="002F7642" w:rsidP="002F7642">
      <w:pPr>
        <w:pStyle w:val="Liste"/>
        <w:ind w:left="0" w:firstLine="0"/>
        <w:jc w:val="both"/>
        <w:rPr>
          <w:rFonts w:asciiTheme="minorHAnsi" w:hAnsiTheme="minorHAnsi"/>
          <w:sz w:val="22"/>
          <w:szCs w:val="22"/>
        </w:rPr>
      </w:pPr>
    </w:p>
    <w:p w14:paraId="40EB32CE" w14:textId="448A5F79" w:rsidR="002F7642" w:rsidRPr="0095436C" w:rsidRDefault="002F7642" w:rsidP="002F7642">
      <w:pPr>
        <w:pStyle w:val="Liste"/>
        <w:ind w:left="0" w:firstLine="0"/>
        <w:jc w:val="both"/>
        <w:rPr>
          <w:rFonts w:asciiTheme="minorHAnsi" w:hAnsiTheme="minorHAnsi"/>
          <w:i/>
          <w:iCs/>
          <w:sz w:val="22"/>
          <w:szCs w:val="22"/>
        </w:rPr>
      </w:pPr>
      <w:r>
        <w:rPr>
          <w:rFonts w:asciiTheme="minorHAnsi" w:hAnsiTheme="minorHAnsi"/>
          <w:sz w:val="22"/>
          <w:szCs w:val="22"/>
        </w:rPr>
        <w:t>Ce médecin-inspecteur répondra  le 11</w:t>
      </w:r>
      <w:r w:rsidR="005F3ECC">
        <w:rPr>
          <w:rFonts w:asciiTheme="minorHAnsi" w:hAnsiTheme="minorHAnsi"/>
          <w:sz w:val="22"/>
          <w:szCs w:val="22"/>
        </w:rPr>
        <w:t xml:space="preserve"> février </w:t>
      </w:r>
      <w:r>
        <w:rPr>
          <w:rFonts w:asciiTheme="minorHAnsi" w:hAnsiTheme="minorHAnsi"/>
          <w:sz w:val="22"/>
          <w:szCs w:val="22"/>
        </w:rPr>
        <w:t xml:space="preserve">2022, notamment que </w:t>
      </w:r>
      <w:r w:rsidRPr="0095436C">
        <w:rPr>
          <w:rFonts w:asciiTheme="minorHAnsi" w:hAnsiTheme="minorHAnsi"/>
          <w:i/>
          <w:iCs/>
          <w:sz w:val="22"/>
          <w:szCs w:val="22"/>
        </w:rPr>
        <w:t>« la demande de reprise à mi-temps signifiée sur le formulaire d’évaluation de santé du Dr Remy le 29</w:t>
      </w:r>
      <w:r w:rsidR="005F3ECC">
        <w:rPr>
          <w:rFonts w:asciiTheme="minorHAnsi" w:hAnsiTheme="minorHAnsi"/>
          <w:i/>
          <w:iCs/>
          <w:sz w:val="22"/>
          <w:szCs w:val="22"/>
        </w:rPr>
        <w:t xml:space="preserve"> juin </w:t>
      </w:r>
      <w:r w:rsidRPr="0095436C">
        <w:rPr>
          <w:rFonts w:asciiTheme="minorHAnsi" w:hAnsiTheme="minorHAnsi"/>
          <w:i/>
          <w:iCs/>
          <w:sz w:val="22"/>
          <w:szCs w:val="22"/>
        </w:rPr>
        <w:t xml:space="preserve">2021 a été refusée par l’employeur. Ce refus a été clairement signifié au Dr </w:t>
      </w:r>
      <w:r w:rsidR="00AC7907">
        <w:rPr>
          <w:rFonts w:asciiTheme="minorHAnsi" w:hAnsiTheme="minorHAnsi"/>
          <w:i/>
          <w:iCs/>
          <w:sz w:val="22"/>
          <w:szCs w:val="22"/>
        </w:rPr>
        <w:t>K</w:t>
      </w:r>
      <w:r w:rsidRPr="0095436C">
        <w:rPr>
          <w:rFonts w:asciiTheme="minorHAnsi" w:hAnsiTheme="minorHAnsi"/>
          <w:i/>
          <w:iCs/>
          <w:sz w:val="22"/>
          <w:szCs w:val="22"/>
        </w:rPr>
        <w:t xml:space="preserve"> lui rappelant les termes de la CCT dans un courrier du même jour.</w:t>
      </w:r>
    </w:p>
    <w:p w14:paraId="1A08E394" w14:textId="77777777" w:rsidR="002F7642" w:rsidRDefault="002F7642" w:rsidP="002F7642">
      <w:pPr>
        <w:pStyle w:val="Liste"/>
        <w:ind w:left="0" w:firstLine="0"/>
        <w:jc w:val="both"/>
        <w:rPr>
          <w:rFonts w:asciiTheme="minorHAnsi" w:hAnsiTheme="minorHAnsi"/>
          <w:i/>
          <w:iCs/>
          <w:sz w:val="22"/>
          <w:szCs w:val="22"/>
        </w:rPr>
      </w:pPr>
      <w:r w:rsidRPr="0095436C">
        <w:rPr>
          <w:rFonts w:asciiTheme="minorHAnsi" w:hAnsiTheme="minorHAnsi"/>
          <w:i/>
          <w:iCs/>
          <w:sz w:val="22"/>
          <w:szCs w:val="22"/>
        </w:rPr>
        <w:t>En ce qui concerne la décision de cocher l’aptitude, j’en ai discuté avec le médecin du travail</w:t>
      </w:r>
      <w:r>
        <w:rPr>
          <w:rFonts w:asciiTheme="minorHAnsi" w:hAnsiTheme="minorHAnsi"/>
          <w:i/>
          <w:iCs/>
          <w:sz w:val="22"/>
          <w:szCs w:val="22"/>
        </w:rPr>
        <w:t>.</w:t>
      </w:r>
    </w:p>
    <w:p w14:paraId="620F56F7" w14:textId="77777777" w:rsidR="002F7642" w:rsidRDefault="002F7642" w:rsidP="002F7642">
      <w:pPr>
        <w:pStyle w:val="Liste"/>
        <w:ind w:left="0" w:firstLine="0"/>
        <w:jc w:val="both"/>
        <w:rPr>
          <w:rFonts w:asciiTheme="minorHAnsi" w:hAnsiTheme="minorHAnsi"/>
          <w:i/>
          <w:iCs/>
          <w:sz w:val="22"/>
          <w:szCs w:val="22"/>
        </w:rPr>
      </w:pPr>
      <w:r>
        <w:rPr>
          <w:rFonts w:asciiTheme="minorHAnsi" w:hAnsiTheme="minorHAnsi"/>
          <w:i/>
          <w:iCs/>
          <w:sz w:val="22"/>
          <w:szCs w:val="22"/>
        </w:rPr>
        <w:t>Il est évident que dans sa décision prise sur le formulaire, le médecin du travail a déjà intégré le refus de l’employeur. D’après ce qu’il m’a dit, il a souhaité éviter des représailles à l’encontre du travailleur.</w:t>
      </w:r>
    </w:p>
    <w:p w14:paraId="01883666" w14:textId="77777777" w:rsidR="002F7642" w:rsidRDefault="002F7642" w:rsidP="002F7642">
      <w:pPr>
        <w:pStyle w:val="Liste"/>
        <w:ind w:left="0" w:firstLine="0"/>
        <w:jc w:val="both"/>
        <w:rPr>
          <w:rFonts w:asciiTheme="minorHAnsi" w:hAnsiTheme="minorHAnsi"/>
          <w:i/>
          <w:iCs/>
          <w:sz w:val="22"/>
          <w:szCs w:val="22"/>
        </w:rPr>
      </w:pPr>
      <w:r>
        <w:rPr>
          <w:rFonts w:asciiTheme="minorHAnsi" w:hAnsiTheme="minorHAnsi"/>
          <w:i/>
          <w:iCs/>
          <w:sz w:val="22"/>
          <w:szCs w:val="22"/>
        </w:rPr>
        <w:t>Il est fréquent que les médecins du travail qui connaissent les réticences d’un employeur à l’égard des adaptations de poste préfèrent déclarer les travailleurs « « aptes » afin d’éviter les risques de licenciement ou de stigmatisation sur la perte de capacité.</w:t>
      </w:r>
    </w:p>
    <w:p w14:paraId="619B9369" w14:textId="68B566EF" w:rsidR="002F7642" w:rsidRDefault="002F7642" w:rsidP="002F7642">
      <w:pPr>
        <w:pStyle w:val="Liste"/>
        <w:ind w:left="0" w:firstLine="0"/>
        <w:jc w:val="both"/>
        <w:rPr>
          <w:rFonts w:asciiTheme="minorHAnsi" w:hAnsiTheme="minorHAnsi"/>
          <w:i/>
          <w:iCs/>
          <w:sz w:val="22"/>
          <w:szCs w:val="22"/>
        </w:rPr>
      </w:pPr>
      <w:r>
        <w:rPr>
          <w:rFonts w:asciiTheme="minorHAnsi" w:hAnsiTheme="minorHAnsi"/>
          <w:i/>
          <w:iCs/>
          <w:sz w:val="22"/>
          <w:szCs w:val="22"/>
        </w:rPr>
        <w:t xml:space="preserve">Je vous rappelle que Mr </w:t>
      </w:r>
      <w:r w:rsidR="00AC7907">
        <w:rPr>
          <w:rFonts w:asciiTheme="minorHAnsi" w:hAnsiTheme="minorHAnsi"/>
          <w:i/>
          <w:iCs/>
          <w:sz w:val="22"/>
          <w:szCs w:val="22"/>
        </w:rPr>
        <w:t>P</w:t>
      </w:r>
      <w:r>
        <w:rPr>
          <w:rFonts w:asciiTheme="minorHAnsi" w:hAnsiTheme="minorHAnsi"/>
          <w:i/>
          <w:iCs/>
          <w:sz w:val="22"/>
          <w:szCs w:val="22"/>
        </w:rPr>
        <w:t xml:space="preserve"> s’était déjà vu refuser l’accession à l’examen de contrôleur pour un motif soi-disant médical. Le Dr </w:t>
      </w:r>
      <w:r w:rsidR="00AC7907">
        <w:rPr>
          <w:rFonts w:asciiTheme="minorHAnsi" w:hAnsiTheme="minorHAnsi"/>
          <w:i/>
          <w:iCs/>
          <w:sz w:val="22"/>
          <w:szCs w:val="22"/>
        </w:rPr>
        <w:t>K</w:t>
      </w:r>
      <w:r>
        <w:rPr>
          <w:rFonts w:asciiTheme="minorHAnsi" w:hAnsiTheme="minorHAnsi"/>
          <w:i/>
          <w:iCs/>
          <w:sz w:val="22"/>
          <w:szCs w:val="22"/>
        </w:rPr>
        <w:t xml:space="preserve"> a estimé qu’il y avait un risque pour le maintien de l’emploi… </w:t>
      </w:r>
      <w:r w:rsidRPr="0095436C">
        <w:rPr>
          <w:rFonts w:asciiTheme="minorHAnsi" w:hAnsiTheme="minorHAnsi"/>
          <w:i/>
          <w:iCs/>
          <w:sz w:val="22"/>
          <w:szCs w:val="22"/>
        </w:rPr>
        <w:t> »</w:t>
      </w:r>
      <w:r>
        <w:rPr>
          <w:rFonts w:asciiTheme="minorHAnsi" w:hAnsiTheme="minorHAnsi"/>
          <w:i/>
          <w:iCs/>
          <w:sz w:val="22"/>
          <w:szCs w:val="22"/>
        </w:rPr>
        <w:t>.</w:t>
      </w:r>
    </w:p>
    <w:p w14:paraId="2873115E" w14:textId="77777777" w:rsidR="002F7642" w:rsidRDefault="002F7642" w:rsidP="002F7642">
      <w:pPr>
        <w:pStyle w:val="Liste"/>
        <w:ind w:left="0" w:firstLine="0"/>
        <w:jc w:val="both"/>
        <w:rPr>
          <w:rFonts w:asciiTheme="minorHAnsi" w:hAnsiTheme="minorHAnsi"/>
          <w:i/>
          <w:iCs/>
          <w:sz w:val="22"/>
          <w:szCs w:val="22"/>
        </w:rPr>
      </w:pPr>
    </w:p>
    <w:p w14:paraId="616E0981" w14:textId="77777777" w:rsidR="002F7642" w:rsidRPr="005F2E3D" w:rsidRDefault="002F7642" w:rsidP="002F7642">
      <w:pPr>
        <w:pStyle w:val="Liste"/>
        <w:ind w:left="0" w:firstLine="0"/>
        <w:jc w:val="both"/>
        <w:rPr>
          <w:rFonts w:asciiTheme="minorHAnsi" w:hAnsiTheme="minorHAnsi"/>
          <w:sz w:val="22"/>
          <w:szCs w:val="22"/>
        </w:rPr>
      </w:pPr>
      <w:r w:rsidRPr="005F2E3D">
        <w:rPr>
          <w:rFonts w:asciiTheme="minorHAnsi" w:hAnsiTheme="minorHAnsi"/>
          <w:sz w:val="22"/>
          <w:szCs w:val="22"/>
        </w:rPr>
        <w:t>Dont acte.</w:t>
      </w:r>
    </w:p>
    <w:p w14:paraId="556F8935" w14:textId="77777777" w:rsidR="002F7642" w:rsidRDefault="002F7642" w:rsidP="002F7642">
      <w:pPr>
        <w:pStyle w:val="Liste"/>
        <w:ind w:left="0" w:firstLine="0"/>
        <w:jc w:val="both"/>
        <w:rPr>
          <w:rFonts w:asciiTheme="minorHAnsi" w:hAnsiTheme="minorHAnsi"/>
          <w:sz w:val="22"/>
          <w:szCs w:val="22"/>
          <w:highlight w:val="cyan"/>
        </w:rPr>
      </w:pPr>
    </w:p>
    <w:p w14:paraId="32EF8CF2" w14:textId="54360B28" w:rsidR="002F7642" w:rsidRDefault="002F7642" w:rsidP="002F7642">
      <w:pPr>
        <w:pStyle w:val="Liste"/>
        <w:ind w:left="0" w:firstLine="0"/>
        <w:jc w:val="both"/>
        <w:rPr>
          <w:rFonts w:asciiTheme="minorHAnsi" w:hAnsiTheme="minorHAnsi"/>
          <w:sz w:val="22"/>
          <w:szCs w:val="22"/>
        </w:rPr>
      </w:pPr>
      <w:r w:rsidRPr="005F2E3D">
        <w:rPr>
          <w:rFonts w:asciiTheme="minorHAnsi" w:hAnsiTheme="minorHAnsi"/>
          <w:sz w:val="22"/>
          <w:szCs w:val="22"/>
        </w:rPr>
        <w:t>Comm</w:t>
      </w:r>
      <w:r w:rsidR="00C71F86">
        <w:rPr>
          <w:rFonts w:asciiTheme="minorHAnsi" w:hAnsiTheme="minorHAnsi"/>
          <w:sz w:val="22"/>
          <w:szCs w:val="22"/>
        </w:rPr>
        <w:t>e</w:t>
      </w:r>
      <w:r w:rsidRPr="005F2E3D">
        <w:rPr>
          <w:rFonts w:asciiTheme="minorHAnsi" w:hAnsiTheme="minorHAnsi"/>
          <w:sz w:val="22"/>
          <w:szCs w:val="22"/>
        </w:rPr>
        <w:t xml:space="preserve"> </w:t>
      </w:r>
      <w:r>
        <w:rPr>
          <w:rFonts w:asciiTheme="minorHAnsi" w:hAnsiTheme="minorHAnsi"/>
          <w:sz w:val="22"/>
          <w:szCs w:val="22"/>
        </w:rPr>
        <w:t xml:space="preserve">l’expose le </w:t>
      </w:r>
      <w:r w:rsidR="00FB4541">
        <w:rPr>
          <w:rFonts w:asciiTheme="minorHAnsi" w:hAnsiTheme="minorHAnsi"/>
          <w:sz w:val="22"/>
          <w:szCs w:val="22"/>
        </w:rPr>
        <w:t>requérant</w:t>
      </w:r>
      <w:r>
        <w:rPr>
          <w:rFonts w:asciiTheme="minorHAnsi" w:hAnsiTheme="minorHAnsi"/>
          <w:sz w:val="22"/>
          <w:szCs w:val="22"/>
        </w:rPr>
        <w:t xml:space="preserve"> en termes de conclusions, la situation est surréaliste</w:t>
      </w:r>
      <w:r w:rsidR="009A4182">
        <w:rPr>
          <w:rFonts w:asciiTheme="minorHAnsi" w:hAnsiTheme="minorHAnsi"/>
          <w:sz w:val="22"/>
          <w:szCs w:val="22"/>
        </w:rPr>
        <w:t xml:space="preserve">, </w:t>
      </w:r>
      <w:r w:rsidR="00525607">
        <w:rPr>
          <w:rFonts w:asciiTheme="minorHAnsi" w:hAnsiTheme="minorHAnsi"/>
          <w:sz w:val="22"/>
          <w:szCs w:val="22"/>
        </w:rPr>
        <w:t>d’autant plus qu’i</w:t>
      </w:r>
      <w:r w:rsidR="009A4182">
        <w:rPr>
          <w:rFonts w:asciiTheme="minorHAnsi" w:hAnsiTheme="minorHAnsi"/>
          <w:sz w:val="22"/>
          <w:szCs w:val="22"/>
        </w:rPr>
        <w:t xml:space="preserve">l </w:t>
      </w:r>
      <w:r w:rsidR="00491B53">
        <w:rPr>
          <w:rFonts w:asciiTheme="minorHAnsi" w:hAnsiTheme="minorHAnsi"/>
          <w:sz w:val="22"/>
          <w:szCs w:val="22"/>
        </w:rPr>
        <w:t>n’est pas contesté</w:t>
      </w:r>
      <w:r w:rsidR="009A4182">
        <w:rPr>
          <w:rFonts w:asciiTheme="minorHAnsi" w:hAnsiTheme="minorHAnsi"/>
          <w:sz w:val="22"/>
          <w:szCs w:val="22"/>
        </w:rPr>
        <w:t xml:space="preserve"> que le TEC manque </w:t>
      </w:r>
      <w:r w:rsidR="00491B53">
        <w:rPr>
          <w:rFonts w:asciiTheme="minorHAnsi" w:hAnsiTheme="minorHAnsi"/>
          <w:sz w:val="22"/>
          <w:szCs w:val="22"/>
        </w:rPr>
        <w:t xml:space="preserve">cruellement </w:t>
      </w:r>
      <w:r w:rsidR="009A4182">
        <w:rPr>
          <w:rFonts w:asciiTheme="minorHAnsi" w:hAnsiTheme="minorHAnsi"/>
          <w:sz w:val="22"/>
          <w:szCs w:val="22"/>
        </w:rPr>
        <w:t>de cha</w:t>
      </w:r>
      <w:r w:rsidR="00525607">
        <w:rPr>
          <w:rFonts w:asciiTheme="minorHAnsi" w:hAnsiTheme="minorHAnsi"/>
          <w:sz w:val="22"/>
          <w:szCs w:val="22"/>
        </w:rPr>
        <w:t xml:space="preserve">uffeurs pour assurer </w:t>
      </w:r>
      <w:r w:rsidR="007834B1">
        <w:rPr>
          <w:rFonts w:asciiTheme="minorHAnsi" w:hAnsiTheme="minorHAnsi"/>
          <w:sz w:val="22"/>
          <w:szCs w:val="22"/>
        </w:rPr>
        <w:t>un large</w:t>
      </w:r>
      <w:r w:rsidR="00525607">
        <w:rPr>
          <w:rFonts w:asciiTheme="minorHAnsi" w:hAnsiTheme="minorHAnsi"/>
          <w:sz w:val="22"/>
          <w:szCs w:val="22"/>
        </w:rPr>
        <w:t xml:space="preserve"> service public de mobilité</w:t>
      </w:r>
      <w:r w:rsidR="007834B1">
        <w:rPr>
          <w:rFonts w:asciiTheme="minorHAnsi" w:hAnsiTheme="minorHAnsi"/>
          <w:sz w:val="22"/>
          <w:szCs w:val="22"/>
        </w:rPr>
        <w:t xml:space="preserve"> sur tout le territoire wallon</w:t>
      </w:r>
      <w:r w:rsidR="00491B53">
        <w:rPr>
          <w:rFonts w:asciiTheme="minorHAnsi" w:hAnsiTheme="minorHAnsi"/>
          <w:sz w:val="22"/>
          <w:szCs w:val="22"/>
        </w:rPr>
        <w:t>, et lance régulièrement des campagnes de recrutement</w:t>
      </w:r>
      <w:r w:rsidR="004E732D">
        <w:rPr>
          <w:rFonts w:asciiTheme="minorHAnsi" w:hAnsiTheme="minorHAnsi"/>
          <w:sz w:val="22"/>
          <w:szCs w:val="22"/>
        </w:rPr>
        <w:t xml:space="preserve"> afin de pallier ce problème r</w:t>
      </w:r>
      <w:r w:rsidR="00171727">
        <w:rPr>
          <w:rFonts w:asciiTheme="minorHAnsi" w:hAnsiTheme="minorHAnsi"/>
          <w:sz w:val="22"/>
          <w:szCs w:val="22"/>
        </w:rPr>
        <w:t>é</w:t>
      </w:r>
      <w:r w:rsidR="004E732D">
        <w:rPr>
          <w:rFonts w:asciiTheme="minorHAnsi" w:hAnsiTheme="minorHAnsi"/>
          <w:sz w:val="22"/>
          <w:szCs w:val="22"/>
        </w:rPr>
        <w:t>current</w:t>
      </w:r>
      <w:r>
        <w:rPr>
          <w:rFonts w:asciiTheme="minorHAnsi" w:hAnsiTheme="minorHAnsi"/>
          <w:sz w:val="22"/>
          <w:szCs w:val="22"/>
        </w:rPr>
        <w:t>.</w:t>
      </w:r>
    </w:p>
    <w:p w14:paraId="7D9B5721" w14:textId="77777777" w:rsidR="00344C2B" w:rsidRDefault="00344C2B" w:rsidP="00787F87">
      <w:pPr>
        <w:pStyle w:val="Liste"/>
        <w:spacing w:before="100" w:beforeAutospacing="1" w:after="100" w:afterAutospacing="1"/>
        <w:ind w:left="0" w:firstLine="0"/>
        <w:contextualSpacing/>
        <w:jc w:val="both"/>
        <w:rPr>
          <w:rFonts w:asciiTheme="minorHAnsi" w:hAnsiTheme="minorHAnsi" w:cstheme="minorHAnsi"/>
          <w:sz w:val="22"/>
          <w:szCs w:val="22"/>
        </w:rPr>
      </w:pPr>
    </w:p>
    <w:p w14:paraId="06D2DCDB" w14:textId="0A964147" w:rsidR="00E34CAA" w:rsidRPr="00A9372F" w:rsidRDefault="00E34CAA" w:rsidP="00787F87">
      <w:pPr>
        <w:pStyle w:val="Liste"/>
        <w:spacing w:before="100" w:beforeAutospacing="1" w:after="100" w:afterAutospacing="1"/>
        <w:ind w:left="0" w:firstLine="0"/>
        <w:contextualSpacing/>
        <w:jc w:val="both"/>
        <w:rPr>
          <w:rFonts w:asciiTheme="minorHAnsi" w:hAnsiTheme="minorHAnsi" w:cstheme="minorHAnsi"/>
          <w:sz w:val="22"/>
          <w:szCs w:val="22"/>
        </w:rPr>
      </w:pPr>
      <w:r w:rsidRPr="00A9372F">
        <w:rPr>
          <w:rFonts w:asciiTheme="minorHAnsi" w:hAnsiTheme="minorHAnsi" w:cstheme="minorHAnsi"/>
          <w:sz w:val="22"/>
          <w:szCs w:val="22"/>
        </w:rPr>
        <w:t xml:space="preserve">En outre, et cela n’est pas négligeable, l’article 5 de la convention collective pose question en ce sens qu’il </w:t>
      </w:r>
      <w:r w:rsidR="003054B9" w:rsidRPr="00A9372F">
        <w:rPr>
          <w:rFonts w:asciiTheme="minorHAnsi" w:hAnsiTheme="minorHAnsi" w:cstheme="minorHAnsi"/>
          <w:sz w:val="22"/>
          <w:szCs w:val="22"/>
        </w:rPr>
        <w:t xml:space="preserve">considère qu’au terme des périodes de mi-temps médical, ne pouvant pas dépasser </w:t>
      </w:r>
      <w:r w:rsidR="00ED191D" w:rsidRPr="00A9372F">
        <w:rPr>
          <w:rFonts w:asciiTheme="minorHAnsi" w:hAnsiTheme="minorHAnsi" w:cstheme="minorHAnsi"/>
          <w:sz w:val="22"/>
          <w:szCs w:val="22"/>
        </w:rPr>
        <w:t xml:space="preserve">6 mois au total, soit le travailleur revient à temps plein, </w:t>
      </w:r>
      <w:r w:rsidR="00ED191D" w:rsidRPr="00A9372F">
        <w:rPr>
          <w:rFonts w:asciiTheme="minorHAnsi" w:hAnsiTheme="minorHAnsi" w:cstheme="minorHAnsi"/>
          <w:sz w:val="22"/>
          <w:szCs w:val="22"/>
          <w:u w:val="single"/>
        </w:rPr>
        <w:t>soit il conserve le régime à temps partiel, moyennant une adaptation de son contrat de travail</w:t>
      </w:r>
      <w:r w:rsidR="00ED191D" w:rsidRPr="00A9372F">
        <w:rPr>
          <w:rFonts w:asciiTheme="minorHAnsi" w:hAnsiTheme="minorHAnsi" w:cstheme="minorHAnsi"/>
          <w:sz w:val="22"/>
          <w:szCs w:val="22"/>
        </w:rPr>
        <w:t>. (le Tribunal souligne)</w:t>
      </w:r>
    </w:p>
    <w:p w14:paraId="44EA15B9" w14:textId="77777777" w:rsidR="00C15FDE" w:rsidRPr="00F23773" w:rsidRDefault="00C15FDE" w:rsidP="00787F87">
      <w:pPr>
        <w:pStyle w:val="Liste"/>
        <w:spacing w:before="100" w:beforeAutospacing="1" w:after="100" w:afterAutospacing="1"/>
        <w:ind w:left="0" w:firstLine="0"/>
        <w:contextualSpacing/>
        <w:jc w:val="both"/>
        <w:rPr>
          <w:rFonts w:asciiTheme="minorHAnsi" w:hAnsiTheme="minorHAnsi" w:cstheme="minorHAnsi"/>
          <w:color w:val="4F81BD" w:themeColor="accent1"/>
          <w:sz w:val="22"/>
          <w:szCs w:val="22"/>
        </w:rPr>
      </w:pPr>
    </w:p>
    <w:p w14:paraId="17B2B8FB" w14:textId="4AE82C7B" w:rsidR="00C15FDE" w:rsidRPr="00A9372F" w:rsidRDefault="00C15FDE" w:rsidP="00787F87">
      <w:pPr>
        <w:pStyle w:val="Liste"/>
        <w:spacing w:before="100" w:beforeAutospacing="1" w:after="100" w:afterAutospacing="1"/>
        <w:ind w:left="0" w:firstLine="0"/>
        <w:contextualSpacing/>
        <w:jc w:val="both"/>
        <w:rPr>
          <w:rFonts w:asciiTheme="minorHAnsi" w:hAnsiTheme="minorHAnsi" w:cstheme="minorHAnsi"/>
          <w:sz w:val="22"/>
          <w:szCs w:val="22"/>
        </w:rPr>
      </w:pPr>
      <w:r w:rsidRPr="00A9372F">
        <w:rPr>
          <w:rFonts w:asciiTheme="minorHAnsi" w:hAnsiTheme="minorHAnsi" w:cstheme="minorHAnsi"/>
          <w:sz w:val="22"/>
          <w:szCs w:val="22"/>
        </w:rPr>
        <w:t xml:space="preserve">Cela laisse entendre que l’objectif visé </w:t>
      </w:r>
      <w:r w:rsidR="006516B5" w:rsidRPr="00A9372F">
        <w:rPr>
          <w:rFonts w:asciiTheme="minorHAnsi" w:hAnsiTheme="minorHAnsi" w:cstheme="minorHAnsi"/>
          <w:sz w:val="22"/>
          <w:szCs w:val="22"/>
        </w:rPr>
        <w:t xml:space="preserve">par la convention collective </w:t>
      </w:r>
      <w:r w:rsidRPr="00A9372F">
        <w:rPr>
          <w:rFonts w:asciiTheme="minorHAnsi" w:hAnsiTheme="minorHAnsi" w:cstheme="minorHAnsi"/>
          <w:sz w:val="22"/>
          <w:szCs w:val="22"/>
        </w:rPr>
        <w:t>n’est donc la problématique d</w:t>
      </w:r>
      <w:r w:rsidR="006516B5" w:rsidRPr="00A9372F">
        <w:rPr>
          <w:rFonts w:asciiTheme="minorHAnsi" w:hAnsiTheme="minorHAnsi" w:cstheme="minorHAnsi"/>
          <w:sz w:val="22"/>
          <w:szCs w:val="22"/>
        </w:rPr>
        <w:t>u</w:t>
      </w:r>
      <w:r w:rsidRPr="00A9372F">
        <w:rPr>
          <w:rFonts w:asciiTheme="minorHAnsi" w:hAnsiTheme="minorHAnsi" w:cstheme="minorHAnsi"/>
          <w:sz w:val="22"/>
          <w:szCs w:val="22"/>
        </w:rPr>
        <w:t xml:space="preserve"> travail </w:t>
      </w:r>
      <w:r w:rsidR="008E7019" w:rsidRPr="00A9372F">
        <w:rPr>
          <w:rFonts w:asciiTheme="minorHAnsi" w:hAnsiTheme="minorHAnsi" w:cstheme="minorHAnsi"/>
          <w:sz w:val="22"/>
          <w:szCs w:val="22"/>
        </w:rPr>
        <w:t>du</w:t>
      </w:r>
      <w:r w:rsidRPr="00A9372F">
        <w:rPr>
          <w:rFonts w:asciiTheme="minorHAnsi" w:hAnsiTheme="minorHAnsi" w:cstheme="minorHAnsi"/>
          <w:sz w:val="22"/>
          <w:szCs w:val="22"/>
        </w:rPr>
        <w:t xml:space="preserve"> temps partiel </w:t>
      </w:r>
      <w:r w:rsidR="006516B5" w:rsidRPr="00A9372F">
        <w:rPr>
          <w:rFonts w:asciiTheme="minorHAnsi" w:hAnsiTheme="minorHAnsi" w:cstheme="minorHAnsi"/>
          <w:sz w:val="22"/>
          <w:szCs w:val="22"/>
        </w:rPr>
        <w:t>en général, mais précisément des temps partiels pour raisons médicales</w:t>
      </w:r>
      <w:r w:rsidR="00654AB0" w:rsidRPr="00A9372F">
        <w:rPr>
          <w:rFonts w:asciiTheme="minorHAnsi" w:hAnsiTheme="minorHAnsi" w:cstheme="minorHAnsi"/>
          <w:sz w:val="22"/>
          <w:szCs w:val="22"/>
        </w:rPr>
        <w:t xml:space="preserve">. En effet, cette disposition confirme qu’il est tout à fait possible de travailler à temps partiel, </w:t>
      </w:r>
      <w:r w:rsidR="001854D1" w:rsidRPr="00A9372F">
        <w:rPr>
          <w:rFonts w:asciiTheme="minorHAnsi" w:hAnsiTheme="minorHAnsi" w:cstheme="minorHAnsi"/>
          <w:sz w:val="22"/>
          <w:szCs w:val="22"/>
        </w:rPr>
        <w:t xml:space="preserve">tant que cela devient la régime contractuel du travailleur et partant, que </w:t>
      </w:r>
      <w:r w:rsidR="008E7019" w:rsidRPr="00A9372F">
        <w:rPr>
          <w:rFonts w:asciiTheme="minorHAnsi" w:hAnsiTheme="minorHAnsi" w:cstheme="minorHAnsi"/>
          <w:sz w:val="22"/>
          <w:szCs w:val="22"/>
        </w:rPr>
        <w:t>son contrat</w:t>
      </w:r>
      <w:r w:rsidR="001854D1" w:rsidRPr="00A9372F">
        <w:rPr>
          <w:rFonts w:asciiTheme="minorHAnsi" w:hAnsiTheme="minorHAnsi" w:cstheme="minorHAnsi"/>
          <w:sz w:val="22"/>
          <w:szCs w:val="22"/>
        </w:rPr>
        <w:t xml:space="preserve"> également est adaptée. </w:t>
      </w:r>
      <w:r w:rsidR="0031593A" w:rsidRPr="00A9372F">
        <w:rPr>
          <w:rFonts w:asciiTheme="minorHAnsi" w:hAnsiTheme="minorHAnsi" w:cstheme="minorHAnsi"/>
          <w:sz w:val="22"/>
          <w:szCs w:val="22"/>
        </w:rPr>
        <w:t>Il est dès lors  t</w:t>
      </w:r>
      <w:r w:rsidR="004757CD" w:rsidRPr="00A9372F">
        <w:rPr>
          <w:rFonts w:asciiTheme="minorHAnsi" w:hAnsiTheme="minorHAnsi" w:cstheme="minorHAnsi"/>
          <w:sz w:val="22"/>
          <w:szCs w:val="22"/>
        </w:rPr>
        <w:t xml:space="preserve">out à fait possible de prester à mi-temps au-delà de </w:t>
      </w:r>
      <w:r w:rsidR="00867EE0" w:rsidRPr="00A9372F">
        <w:rPr>
          <w:rFonts w:asciiTheme="minorHAnsi" w:hAnsiTheme="minorHAnsi" w:cstheme="minorHAnsi"/>
          <w:sz w:val="22"/>
          <w:szCs w:val="22"/>
        </w:rPr>
        <w:t xml:space="preserve">6 mois. </w:t>
      </w:r>
      <w:r w:rsidR="0031593A" w:rsidRPr="00A9372F">
        <w:rPr>
          <w:rFonts w:asciiTheme="minorHAnsi" w:hAnsiTheme="minorHAnsi" w:cstheme="minorHAnsi"/>
          <w:sz w:val="22"/>
          <w:szCs w:val="22"/>
        </w:rPr>
        <w:t>Le raisonnement du l’OTW s’en retrouve fragilisé en ce sens qu’il laisse entendre que</w:t>
      </w:r>
      <w:r w:rsidR="00CA2B9A" w:rsidRPr="00A9372F">
        <w:rPr>
          <w:rFonts w:asciiTheme="minorHAnsi" w:hAnsiTheme="minorHAnsi" w:cstheme="minorHAnsi"/>
          <w:sz w:val="22"/>
          <w:szCs w:val="22"/>
        </w:rPr>
        <w:t> :</w:t>
      </w:r>
    </w:p>
    <w:p w14:paraId="5AF7560B" w14:textId="77777777" w:rsidR="002527C0" w:rsidRPr="00A9372F" w:rsidRDefault="002527C0" w:rsidP="00787F87">
      <w:pPr>
        <w:pStyle w:val="Liste"/>
        <w:spacing w:before="100" w:beforeAutospacing="1" w:after="100" w:afterAutospacing="1"/>
        <w:ind w:left="0" w:firstLine="0"/>
        <w:contextualSpacing/>
        <w:jc w:val="both"/>
        <w:rPr>
          <w:rFonts w:asciiTheme="minorHAnsi" w:hAnsiTheme="minorHAnsi" w:cstheme="minorHAnsi"/>
          <w:sz w:val="22"/>
          <w:szCs w:val="22"/>
        </w:rPr>
      </w:pPr>
    </w:p>
    <w:p w14:paraId="59BB13A7" w14:textId="01359216" w:rsidR="00CA2B9A" w:rsidRPr="00A9372F" w:rsidRDefault="00CA2B9A" w:rsidP="00CA2B9A">
      <w:pPr>
        <w:pStyle w:val="Liste"/>
        <w:numPr>
          <w:ilvl w:val="0"/>
          <w:numId w:val="27"/>
        </w:numPr>
        <w:spacing w:before="100" w:beforeAutospacing="1" w:after="100" w:afterAutospacing="1"/>
        <w:contextualSpacing/>
        <w:jc w:val="both"/>
        <w:rPr>
          <w:rFonts w:asciiTheme="minorHAnsi" w:hAnsiTheme="minorHAnsi" w:cstheme="minorHAnsi"/>
          <w:sz w:val="22"/>
          <w:szCs w:val="22"/>
        </w:rPr>
      </w:pPr>
      <w:r w:rsidRPr="00A9372F">
        <w:rPr>
          <w:rFonts w:asciiTheme="minorHAnsi" w:hAnsiTheme="minorHAnsi" w:cstheme="minorHAnsi"/>
          <w:sz w:val="22"/>
          <w:szCs w:val="22"/>
        </w:rPr>
        <w:t>soit le mi-temps est refusé au-delà de 6 mois</w:t>
      </w:r>
      <w:r w:rsidR="007B246C">
        <w:rPr>
          <w:rFonts w:asciiTheme="minorHAnsi" w:hAnsiTheme="minorHAnsi" w:cstheme="minorHAnsi"/>
          <w:sz w:val="22"/>
          <w:szCs w:val="22"/>
        </w:rPr>
        <w:t>,</w:t>
      </w:r>
    </w:p>
    <w:p w14:paraId="1129771F" w14:textId="7E4C153E" w:rsidR="00CA2B9A" w:rsidRPr="00A9372F" w:rsidRDefault="00CA2B9A" w:rsidP="00CA2B9A">
      <w:pPr>
        <w:pStyle w:val="Liste"/>
        <w:numPr>
          <w:ilvl w:val="0"/>
          <w:numId w:val="27"/>
        </w:numPr>
        <w:spacing w:before="100" w:beforeAutospacing="1" w:after="100" w:afterAutospacing="1"/>
        <w:contextualSpacing/>
        <w:jc w:val="both"/>
        <w:rPr>
          <w:rFonts w:asciiTheme="minorHAnsi" w:hAnsiTheme="minorHAnsi" w:cstheme="minorHAnsi"/>
          <w:sz w:val="22"/>
          <w:szCs w:val="22"/>
        </w:rPr>
      </w:pPr>
      <w:r w:rsidRPr="00A9372F">
        <w:rPr>
          <w:rFonts w:asciiTheme="minorHAnsi" w:hAnsiTheme="minorHAnsi" w:cstheme="minorHAnsi"/>
          <w:sz w:val="22"/>
          <w:szCs w:val="22"/>
        </w:rPr>
        <w:t xml:space="preserve">soit le mi-temps est </w:t>
      </w:r>
      <w:r w:rsidR="002527C0" w:rsidRPr="00A9372F">
        <w:rPr>
          <w:rFonts w:asciiTheme="minorHAnsi" w:hAnsiTheme="minorHAnsi" w:cstheme="minorHAnsi"/>
          <w:sz w:val="22"/>
          <w:szCs w:val="22"/>
        </w:rPr>
        <w:t>possible</w:t>
      </w:r>
      <w:r w:rsidRPr="00A9372F">
        <w:rPr>
          <w:rFonts w:asciiTheme="minorHAnsi" w:hAnsiTheme="minorHAnsi" w:cstheme="minorHAnsi"/>
          <w:sz w:val="22"/>
          <w:szCs w:val="22"/>
        </w:rPr>
        <w:t xml:space="preserve"> mais avec adaptation du régime de travail dans le contrat</w:t>
      </w:r>
      <w:r w:rsidR="007728AF" w:rsidRPr="00A9372F">
        <w:rPr>
          <w:rFonts w:asciiTheme="minorHAnsi" w:hAnsiTheme="minorHAnsi" w:cstheme="minorHAnsi"/>
          <w:sz w:val="22"/>
          <w:szCs w:val="22"/>
        </w:rPr>
        <w:t xml:space="preserve"> et avec tout ce que cela implique</w:t>
      </w:r>
      <w:r w:rsidR="0032738B">
        <w:rPr>
          <w:rFonts w:asciiTheme="minorHAnsi" w:hAnsiTheme="minorHAnsi" w:cstheme="minorHAnsi"/>
          <w:sz w:val="22"/>
          <w:szCs w:val="22"/>
        </w:rPr>
        <w:t>.</w:t>
      </w:r>
      <w:r w:rsidR="007728AF" w:rsidRPr="00A9372F">
        <w:rPr>
          <w:rFonts w:asciiTheme="minorHAnsi" w:hAnsiTheme="minorHAnsi" w:cstheme="minorHAnsi"/>
          <w:sz w:val="22"/>
          <w:szCs w:val="22"/>
        </w:rPr>
        <w:t xml:space="preserve"> </w:t>
      </w:r>
    </w:p>
    <w:p w14:paraId="711DBCCC" w14:textId="1CE0D9E5" w:rsidR="00732371" w:rsidRPr="00A9372F" w:rsidRDefault="00732371"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515F0C38" w14:textId="69A5839A" w:rsidR="005C4DD7" w:rsidRPr="00A9372F" w:rsidRDefault="005C4DD7"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A9372F">
        <w:rPr>
          <w:rFonts w:asciiTheme="minorHAnsi" w:hAnsiTheme="minorHAnsi" w:cstheme="minorHAnsi"/>
          <w:sz w:val="22"/>
          <w:szCs w:val="22"/>
        </w:rPr>
        <w:t>L’OTW f</w:t>
      </w:r>
      <w:r w:rsidRPr="00A9372F">
        <w:rPr>
          <w:rFonts w:asciiTheme="minorHAnsi" w:hAnsiTheme="minorHAnsi" w:cstheme="minorHAnsi"/>
          <w:sz w:val="22"/>
          <w:szCs w:val="22"/>
        </w:rPr>
        <w:tab/>
        <w:t>ait donc preuve de réticence sur la question du temps partiel mais peut finalement le mettre en place</w:t>
      </w:r>
      <w:r w:rsidR="008C443B" w:rsidRPr="00A9372F">
        <w:rPr>
          <w:rFonts w:asciiTheme="minorHAnsi" w:hAnsiTheme="minorHAnsi" w:cstheme="minorHAnsi"/>
          <w:sz w:val="22"/>
          <w:szCs w:val="22"/>
        </w:rPr>
        <w:t xml:space="preserve"> </w:t>
      </w:r>
      <w:r w:rsidR="004961FD">
        <w:rPr>
          <w:rFonts w:asciiTheme="minorHAnsi" w:hAnsiTheme="minorHAnsi" w:cstheme="minorHAnsi"/>
          <w:sz w:val="22"/>
          <w:szCs w:val="22"/>
        </w:rPr>
        <w:t>lorsque le</w:t>
      </w:r>
      <w:r w:rsidR="008C443B" w:rsidRPr="00A9372F">
        <w:rPr>
          <w:rFonts w:asciiTheme="minorHAnsi" w:hAnsiTheme="minorHAnsi" w:cstheme="minorHAnsi"/>
          <w:sz w:val="22"/>
          <w:szCs w:val="22"/>
        </w:rPr>
        <w:t xml:space="preserve"> régime de travail </w:t>
      </w:r>
      <w:r w:rsidR="004961FD">
        <w:rPr>
          <w:rFonts w:asciiTheme="minorHAnsi" w:hAnsiTheme="minorHAnsi" w:cstheme="minorHAnsi"/>
          <w:sz w:val="22"/>
          <w:szCs w:val="22"/>
        </w:rPr>
        <w:t xml:space="preserve">est modifié </w:t>
      </w:r>
      <w:r w:rsidR="008C443B" w:rsidRPr="00A9372F">
        <w:rPr>
          <w:rFonts w:asciiTheme="minorHAnsi" w:hAnsiTheme="minorHAnsi" w:cstheme="minorHAnsi"/>
          <w:sz w:val="22"/>
          <w:szCs w:val="22"/>
        </w:rPr>
        <w:t xml:space="preserve">dans </w:t>
      </w:r>
      <w:r w:rsidR="004961FD">
        <w:rPr>
          <w:rFonts w:asciiTheme="minorHAnsi" w:hAnsiTheme="minorHAnsi" w:cstheme="minorHAnsi"/>
          <w:sz w:val="22"/>
          <w:szCs w:val="22"/>
        </w:rPr>
        <w:t xml:space="preserve">le </w:t>
      </w:r>
      <w:r w:rsidR="008C443B" w:rsidRPr="00A9372F">
        <w:rPr>
          <w:rFonts w:asciiTheme="minorHAnsi" w:hAnsiTheme="minorHAnsi" w:cstheme="minorHAnsi"/>
          <w:sz w:val="22"/>
          <w:szCs w:val="22"/>
        </w:rPr>
        <w:t>contrat. Le Tribunal s’interroge sur la nature de l’avantage qu’en retire l’OTW.</w:t>
      </w:r>
      <w:r w:rsidR="00BC725D" w:rsidRPr="00A9372F">
        <w:rPr>
          <w:rFonts w:asciiTheme="minorHAnsi" w:hAnsiTheme="minorHAnsi" w:cstheme="minorHAnsi"/>
          <w:sz w:val="22"/>
          <w:szCs w:val="22"/>
        </w:rPr>
        <w:t xml:space="preserve"> </w:t>
      </w:r>
    </w:p>
    <w:p w14:paraId="6124CA0F" w14:textId="77777777" w:rsidR="00756351" w:rsidRDefault="00756351"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54C9DAF9" w14:textId="2A1BA6FA" w:rsidR="00756351" w:rsidRDefault="00756351" w:rsidP="00D368C9">
      <w:pPr>
        <w:pStyle w:val="Liste"/>
        <w:spacing w:before="100" w:beforeAutospacing="1" w:after="100" w:afterAutospacing="1"/>
        <w:ind w:left="0" w:firstLine="0"/>
        <w:contextualSpacing/>
        <w:jc w:val="both"/>
        <w:rPr>
          <w:rFonts w:asciiTheme="minorHAnsi" w:hAnsiTheme="minorHAnsi" w:cstheme="minorHAnsi"/>
          <w:sz w:val="22"/>
          <w:szCs w:val="22"/>
        </w:rPr>
      </w:pPr>
      <w:r>
        <w:rPr>
          <w:rFonts w:asciiTheme="minorHAnsi" w:hAnsiTheme="minorHAnsi" w:cstheme="minorHAnsi"/>
          <w:sz w:val="22"/>
          <w:szCs w:val="22"/>
        </w:rPr>
        <w:t>De manière plus pratique encore, l’OTW avance plusieurs éléments qui peuvent raisonnablement être contestés :</w:t>
      </w:r>
    </w:p>
    <w:p w14:paraId="45E15E77" w14:textId="1BDE50B5" w:rsidR="00756351" w:rsidRDefault="001F5B64" w:rsidP="00756351">
      <w:pPr>
        <w:pStyle w:val="Liste"/>
        <w:numPr>
          <w:ilvl w:val="0"/>
          <w:numId w:val="28"/>
        </w:numPr>
        <w:spacing w:before="100" w:beforeAutospacing="1" w:after="100" w:afterAutospacing="1"/>
        <w:contextualSpacing/>
        <w:jc w:val="both"/>
        <w:rPr>
          <w:rFonts w:asciiTheme="minorHAnsi" w:hAnsiTheme="minorHAnsi" w:cstheme="minorHAnsi"/>
          <w:sz w:val="22"/>
          <w:szCs w:val="22"/>
        </w:rPr>
      </w:pPr>
      <w:r>
        <w:rPr>
          <w:rFonts w:asciiTheme="minorHAnsi" w:hAnsiTheme="minorHAnsi" w:cstheme="minorHAnsi"/>
          <w:sz w:val="22"/>
          <w:szCs w:val="22"/>
        </w:rPr>
        <w:t>un pan de son organisation sur lequel il ne souhaite pas revenir consiste au fait que les chauffeurs doivent travailler en moyenne 8 heures par jour</w:t>
      </w:r>
      <w:r w:rsidR="00DC576D">
        <w:rPr>
          <w:rFonts w:asciiTheme="minorHAnsi" w:hAnsiTheme="minorHAnsi" w:cstheme="minorHAnsi"/>
          <w:sz w:val="22"/>
          <w:szCs w:val="22"/>
        </w:rPr>
        <w:t>. L’OTW précise : « </w:t>
      </w:r>
      <w:r w:rsidR="00DC576D" w:rsidRPr="00CB058B">
        <w:rPr>
          <w:rFonts w:asciiTheme="minorHAnsi" w:hAnsiTheme="minorHAnsi" w:cstheme="minorHAnsi"/>
          <w:i/>
          <w:iCs/>
          <w:sz w:val="22"/>
          <w:szCs w:val="22"/>
        </w:rPr>
        <w:t>en permettant un travail</w:t>
      </w:r>
      <w:r w:rsidR="00F973AA" w:rsidRPr="00CB058B">
        <w:rPr>
          <w:rFonts w:asciiTheme="minorHAnsi" w:hAnsiTheme="minorHAnsi" w:cstheme="minorHAnsi"/>
          <w:i/>
          <w:iCs/>
          <w:sz w:val="22"/>
          <w:szCs w:val="22"/>
        </w:rPr>
        <w:t xml:space="preserve"> à mi-temps avec prestations les après-midi, l’ensemble des prestations au sein du roulement devraient être revues</w:t>
      </w:r>
      <w:r w:rsidR="00470742" w:rsidRPr="00CB058B">
        <w:rPr>
          <w:rFonts w:asciiTheme="minorHAnsi" w:hAnsiTheme="minorHAnsi" w:cstheme="minorHAnsi"/>
          <w:i/>
          <w:iCs/>
          <w:sz w:val="22"/>
          <w:szCs w:val="22"/>
        </w:rPr>
        <w:t> ; l’OTW devrait détricoter un ensemble de roulements de plusieurs personnes, de façon à attribuer</w:t>
      </w:r>
      <w:r w:rsidR="00CB058B" w:rsidRPr="00CB058B">
        <w:rPr>
          <w:rFonts w:asciiTheme="minorHAnsi" w:hAnsiTheme="minorHAnsi" w:cstheme="minorHAnsi"/>
          <w:i/>
          <w:iCs/>
          <w:sz w:val="22"/>
          <w:szCs w:val="22"/>
        </w:rPr>
        <w:t xml:space="preserve"> certaines prestations à Monsieur </w:t>
      </w:r>
      <w:r w:rsidR="00AC7907">
        <w:rPr>
          <w:rFonts w:asciiTheme="minorHAnsi" w:hAnsiTheme="minorHAnsi" w:cstheme="minorHAnsi"/>
          <w:i/>
          <w:iCs/>
          <w:sz w:val="22"/>
          <w:szCs w:val="22"/>
        </w:rPr>
        <w:t>P</w:t>
      </w:r>
      <w:r w:rsidR="00CB058B" w:rsidRPr="00CB058B">
        <w:rPr>
          <w:rFonts w:asciiTheme="minorHAnsi" w:hAnsiTheme="minorHAnsi" w:cstheme="minorHAnsi"/>
          <w:i/>
          <w:iCs/>
          <w:sz w:val="22"/>
          <w:szCs w:val="22"/>
        </w:rPr>
        <w:t xml:space="preserve"> en les enlevant à d’autres chauffeurs…</w:t>
      </w:r>
      <w:r w:rsidR="00CB058B">
        <w:rPr>
          <w:rFonts w:asciiTheme="minorHAnsi" w:hAnsiTheme="minorHAnsi" w:cstheme="minorHAnsi"/>
          <w:sz w:val="22"/>
          <w:szCs w:val="22"/>
        </w:rPr>
        <w:t> »</w:t>
      </w:r>
      <w:r w:rsidR="008457F7">
        <w:rPr>
          <w:rStyle w:val="Appelnotedebasdep"/>
          <w:rFonts w:asciiTheme="minorHAnsi" w:hAnsiTheme="minorHAnsi" w:cstheme="minorHAnsi"/>
          <w:sz w:val="22"/>
          <w:szCs w:val="22"/>
        </w:rPr>
        <w:footnoteReference w:id="15"/>
      </w:r>
    </w:p>
    <w:p w14:paraId="3CB3B5F3" w14:textId="17AF5B40" w:rsidR="0041794D" w:rsidRDefault="00CB058B" w:rsidP="0041794D">
      <w:pPr>
        <w:pStyle w:val="Liste"/>
        <w:spacing w:before="100" w:beforeAutospacing="1" w:after="100" w:afterAutospacing="1"/>
        <w:ind w:left="720"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Or, il n’est pas </w:t>
      </w:r>
      <w:r w:rsidR="00E85E7A">
        <w:rPr>
          <w:rFonts w:asciiTheme="minorHAnsi" w:hAnsiTheme="minorHAnsi" w:cstheme="minorHAnsi"/>
          <w:sz w:val="22"/>
          <w:szCs w:val="22"/>
        </w:rPr>
        <w:t xml:space="preserve">contesté que Monsieur </w:t>
      </w:r>
      <w:r w:rsidR="00AC7907">
        <w:rPr>
          <w:rFonts w:asciiTheme="minorHAnsi" w:hAnsiTheme="minorHAnsi" w:cstheme="minorHAnsi"/>
          <w:sz w:val="22"/>
          <w:szCs w:val="22"/>
        </w:rPr>
        <w:t>P</w:t>
      </w:r>
      <w:r w:rsidR="00E85E7A">
        <w:rPr>
          <w:rFonts w:asciiTheme="minorHAnsi" w:hAnsiTheme="minorHAnsi" w:cstheme="minorHAnsi"/>
          <w:sz w:val="22"/>
          <w:szCs w:val="22"/>
        </w:rPr>
        <w:t xml:space="preserve"> n’a pas axé sa demande d’aménagement raisonnable sous la forme d’un temps partiel </w:t>
      </w:r>
      <w:r w:rsidR="0041794D">
        <w:rPr>
          <w:rFonts w:asciiTheme="minorHAnsi" w:hAnsiTheme="minorHAnsi" w:cstheme="minorHAnsi"/>
          <w:sz w:val="22"/>
          <w:szCs w:val="22"/>
        </w:rPr>
        <w:t xml:space="preserve">par demi-journées. </w:t>
      </w:r>
    </w:p>
    <w:p w14:paraId="6E3034F5" w14:textId="37400D8B" w:rsidR="0041794D" w:rsidRDefault="0041794D" w:rsidP="0041794D">
      <w:pPr>
        <w:pStyle w:val="Liste"/>
        <w:spacing w:before="100" w:beforeAutospacing="1" w:after="100" w:afterAutospacing="1"/>
        <w:ind w:left="720"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C’est d’ailleurs sur cette question qu’il a été acté au PV que Monsieur </w:t>
      </w:r>
      <w:r w:rsidR="00AC7907">
        <w:rPr>
          <w:rFonts w:asciiTheme="minorHAnsi" w:hAnsiTheme="minorHAnsi" w:cstheme="minorHAnsi"/>
          <w:sz w:val="22"/>
          <w:szCs w:val="22"/>
        </w:rPr>
        <w:t>P</w:t>
      </w:r>
      <w:r>
        <w:rPr>
          <w:rFonts w:asciiTheme="minorHAnsi" w:hAnsiTheme="minorHAnsi" w:cstheme="minorHAnsi"/>
          <w:sz w:val="22"/>
          <w:szCs w:val="22"/>
        </w:rPr>
        <w:t xml:space="preserve"> est tout à fait disposé à travailler à mi-temps</w:t>
      </w:r>
      <w:r w:rsidR="00DC1493">
        <w:rPr>
          <w:rFonts w:asciiTheme="minorHAnsi" w:hAnsiTheme="minorHAnsi" w:cstheme="minorHAnsi"/>
          <w:sz w:val="22"/>
          <w:szCs w:val="22"/>
        </w:rPr>
        <w:t xml:space="preserve"> en prestant des journées complètes suivies de journée</w:t>
      </w:r>
      <w:r w:rsidR="003B39B0">
        <w:rPr>
          <w:rFonts w:asciiTheme="minorHAnsi" w:hAnsiTheme="minorHAnsi" w:cstheme="minorHAnsi"/>
          <w:sz w:val="22"/>
          <w:szCs w:val="22"/>
        </w:rPr>
        <w:t>s</w:t>
      </w:r>
      <w:r w:rsidR="00DC1493">
        <w:rPr>
          <w:rFonts w:asciiTheme="minorHAnsi" w:hAnsiTheme="minorHAnsi" w:cstheme="minorHAnsi"/>
          <w:sz w:val="22"/>
          <w:szCs w:val="22"/>
        </w:rPr>
        <w:t xml:space="preserve"> de repos. </w:t>
      </w:r>
    </w:p>
    <w:p w14:paraId="35FC0AE6" w14:textId="77777777" w:rsidR="00150B98" w:rsidRDefault="00150B98" w:rsidP="0041794D">
      <w:pPr>
        <w:pStyle w:val="Liste"/>
        <w:spacing w:before="100" w:beforeAutospacing="1" w:after="100" w:afterAutospacing="1"/>
        <w:ind w:left="720" w:firstLine="0"/>
        <w:contextualSpacing/>
        <w:jc w:val="both"/>
        <w:rPr>
          <w:rFonts w:asciiTheme="minorHAnsi" w:hAnsiTheme="minorHAnsi" w:cstheme="minorHAnsi"/>
          <w:sz w:val="22"/>
          <w:szCs w:val="22"/>
        </w:rPr>
      </w:pPr>
    </w:p>
    <w:p w14:paraId="3758CDCE" w14:textId="5D19E7E1" w:rsidR="00DC1493" w:rsidRDefault="00103F8B" w:rsidP="00DC1493">
      <w:pPr>
        <w:pStyle w:val="Liste"/>
        <w:numPr>
          <w:ilvl w:val="0"/>
          <w:numId w:val="28"/>
        </w:numPr>
        <w:spacing w:before="100" w:beforeAutospacing="1" w:after="100" w:afterAutospacing="1"/>
        <w:contextualSpacing/>
        <w:jc w:val="both"/>
        <w:rPr>
          <w:rFonts w:asciiTheme="minorHAnsi" w:hAnsiTheme="minorHAnsi" w:cstheme="minorHAnsi"/>
          <w:sz w:val="22"/>
          <w:szCs w:val="22"/>
        </w:rPr>
      </w:pPr>
      <w:r>
        <w:rPr>
          <w:rFonts w:asciiTheme="minorHAnsi" w:hAnsiTheme="minorHAnsi" w:cstheme="minorHAnsi"/>
          <w:sz w:val="22"/>
          <w:szCs w:val="22"/>
        </w:rPr>
        <w:t xml:space="preserve">Au dépôt de </w:t>
      </w:r>
      <w:proofErr w:type="spellStart"/>
      <w:r w:rsidR="00AC7907">
        <w:rPr>
          <w:rFonts w:asciiTheme="minorHAnsi" w:hAnsiTheme="minorHAnsi" w:cstheme="minorHAnsi"/>
          <w:sz w:val="22"/>
          <w:szCs w:val="22"/>
        </w:rPr>
        <w:t>Houtsiplou</w:t>
      </w:r>
      <w:proofErr w:type="spellEnd"/>
      <w:r>
        <w:rPr>
          <w:rFonts w:asciiTheme="minorHAnsi" w:hAnsiTheme="minorHAnsi" w:cstheme="minorHAnsi"/>
          <w:sz w:val="22"/>
          <w:szCs w:val="22"/>
        </w:rPr>
        <w:t xml:space="preserve">, il y a actuellement 1 chauffeur en mi-temps détachement syndical </w:t>
      </w:r>
      <w:r w:rsidR="00150B98">
        <w:rPr>
          <w:rFonts w:asciiTheme="minorHAnsi" w:hAnsiTheme="minorHAnsi" w:cstheme="minorHAnsi"/>
          <w:sz w:val="22"/>
          <w:szCs w:val="22"/>
        </w:rPr>
        <w:t>et 11 chauffeurs en crédit-temps 1/5</w:t>
      </w:r>
      <w:r w:rsidR="00150B98" w:rsidRPr="00150B98">
        <w:rPr>
          <w:rFonts w:asciiTheme="minorHAnsi" w:hAnsiTheme="minorHAnsi" w:cstheme="minorHAnsi"/>
          <w:sz w:val="22"/>
          <w:szCs w:val="22"/>
          <w:vertAlign w:val="superscript"/>
        </w:rPr>
        <w:t>ème</w:t>
      </w:r>
      <w:r w:rsidR="00150B98">
        <w:rPr>
          <w:rFonts w:asciiTheme="minorHAnsi" w:hAnsiTheme="minorHAnsi" w:cstheme="minorHAnsi"/>
          <w:sz w:val="22"/>
          <w:szCs w:val="22"/>
        </w:rPr>
        <w:t xml:space="preserve">. </w:t>
      </w:r>
      <w:r w:rsidR="0014628B">
        <w:rPr>
          <w:rStyle w:val="Appelnotedebasdep"/>
          <w:rFonts w:asciiTheme="minorHAnsi" w:hAnsiTheme="minorHAnsi" w:cstheme="minorHAnsi"/>
          <w:sz w:val="22"/>
          <w:szCs w:val="22"/>
        </w:rPr>
        <w:footnoteReference w:id="16"/>
      </w:r>
    </w:p>
    <w:p w14:paraId="72C2766A" w14:textId="3DCE3622" w:rsidR="00150B98" w:rsidRDefault="00150B98" w:rsidP="00150B98">
      <w:pPr>
        <w:pStyle w:val="Liste"/>
        <w:spacing w:before="100" w:beforeAutospacing="1" w:after="100" w:afterAutospacing="1"/>
        <w:ind w:left="720"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Le Tribunal constate qu’assurer le remplacement du chauffeur en mi-temps détachement syndical ne semble pas poser problème, considérant par ailleurs que les détachements de cette nature sont généralement plus longs que 6 mois. </w:t>
      </w:r>
    </w:p>
    <w:p w14:paraId="30E4935D" w14:textId="77777777" w:rsidR="001520BA" w:rsidRDefault="00150B98" w:rsidP="00150B98">
      <w:pPr>
        <w:pStyle w:val="Liste"/>
        <w:spacing w:before="100" w:beforeAutospacing="1" w:after="100" w:afterAutospacing="1"/>
        <w:ind w:left="720"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En outre, </w:t>
      </w:r>
      <w:r w:rsidR="00D95AA0">
        <w:rPr>
          <w:rFonts w:asciiTheme="minorHAnsi" w:hAnsiTheme="minorHAnsi" w:cstheme="minorHAnsi"/>
          <w:sz w:val="22"/>
          <w:szCs w:val="22"/>
        </w:rPr>
        <w:t>l’OTW est en mesure d’organiser le crédit-temps de 11 chauffeurs travaillant 4/5</w:t>
      </w:r>
      <w:r w:rsidR="00D95AA0" w:rsidRPr="00D95AA0">
        <w:rPr>
          <w:rFonts w:asciiTheme="minorHAnsi" w:hAnsiTheme="minorHAnsi" w:cstheme="minorHAnsi"/>
          <w:sz w:val="22"/>
          <w:szCs w:val="22"/>
          <w:vertAlign w:val="superscript"/>
        </w:rPr>
        <w:t>ème</w:t>
      </w:r>
      <w:r w:rsidR="00D95AA0">
        <w:rPr>
          <w:rFonts w:asciiTheme="minorHAnsi" w:hAnsiTheme="minorHAnsi" w:cstheme="minorHAnsi"/>
          <w:sz w:val="22"/>
          <w:szCs w:val="22"/>
        </w:rPr>
        <w:t xml:space="preserve">. </w:t>
      </w:r>
    </w:p>
    <w:p w14:paraId="2706D399" w14:textId="3C712797" w:rsidR="00150B98" w:rsidRDefault="001520BA" w:rsidP="00150B98">
      <w:pPr>
        <w:pStyle w:val="Liste"/>
        <w:spacing w:before="100" w:beforeAutospacing="1" w:after="100" w:afterAutospacing="1"/>
        <w:ind w:left="720"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Si le point d’honneur semble être mis sur le temps plein, </w:t>
      </w:r>
      <w:r w:rsidR="0002643F">
        <w:rPr>
          <w:rFonts w:asciiTheme="minorHAnsi" w:hAnsiTheme="minorHAnsi" w:cstheme="minorHAnsi"/>
          <w:sz w:val="22"/>
          <w:szCs w:val="22"/>
        </w:rPr>
        <w:t>il n’en demeure pas moins que dans les cas précités, l’OTW a pu aménager le temps de travail</w:t>
      </w:r>
      <w:r w:rsidR="004A7598">
        <w:rPr>
          <w:rFonts w:asciiTheme="minorHAnsi" w:hAnsiTheme="minorHAnsi" w:cstheme="minorHAnsi"/>
          <w:sz w:val="22"/>
          <w:szCs w:val="22"/>
        </w:rPr>
        <w:t xml:space="preserve"> d’autres chauffeurs. Le Tribunal ignore si ces aménagements dépassent la période contestée des 6 mois</w:t>
      </w:r>
      <w:r w:rsidR="001C3B42">
        <w:rPr>
          <w:rFonts w:asciiTheme="minorHAnsi" w:hAnsiTheme="minorHAnsi" w:cstheme="minorHAnsi"/>
          <w:sz w:val="22"/>
          <w:szCs w:val="22"/>
        </w:rPr>
        <w:t xml:space="preserve"> </w:t>
      </w:r>
      <w:r w:rsidR="001C3B42" w:rsidRPr="00B249E6">
        <w:rPr>
          <w:rFonts w:asciiTheme="minorHAnsi" w:hAnsiTheme="minorHAnsi" w:cstheme="minorHAnsi"/>
          <w:sz w:val="22"/>
          <w:szCs w:val="22"/>
        </w:rPr>
        <w:t>mais il y a fort à parier.</w:t>
      </w:r>
    </w:p>
    <w:p w14:paraId="3DE417F9" w14:textId="77777777" w:rsidR="00AE3ED5" w:rsidRDefault="00AE3ED5" w:rsidP="00150B98">
      <w:pPr>
        <w:pStyle w:val="Liste"/>
        <w:spacing w:before="100" w:beforeAutospacing="1" w:after="100" w:afterAutospacing="1"/>
        <w:ind w:left="720" w:firstLine="0"/>
        <w:contextualSpacing/>
        <w:jc w:val="both"/>
        <w:rPr>
          <w:rFonts w:asciiTheme="minorHAnsi" w:hAnsiTheme="minorHAnsi" w:cstheme="minorHAnsi"/>
          <w:sz w:val="22"/>
          <w:szCs w:val="22"/>
        </w:rPr>
      </w:pPr>
    </w:p>
    <w:p w14:paraId="0155E6CF" w14:textId="78FEAE35" w:rsidR="00CB459A" w:rsidRDefault="00B858AA" w:rsidP="00CB459A">
      <w:pPr>
        <w:pStyle w:val="Liste"/>
        <w:numPr>
          <w:ilvl w:val="0"/>
          <w:numId w:val="28"/>
        </w:numPr>
        <w:spacing w:before="100" w:beforeAutospacing="1" w:after="100" w:afterAutospacing="1"/>
        <w:contextualSpacing/>
        <w:jc w:val="both"/>
        <w:rPr>
          <w:rFonts w:asciiTheme="minorHAnsi" w:hAnsiTheme="minorHAnsi" w:cstheme="minorHAnsi"/>
          <w:sz w:val="22"/>
          <w:szCs w:val="22"/>
        </w:rPr>
      </w:pPr>
      <w:r>
        <w:rPr>
          <w:rFonts w:asciiTheme="minorHAnsi" w:hAnsiTheme="minorHAnsi" w:cstheme="minorHAnsi"/>
          <w:sz w:val="22"/>
          <w:szCs w:val="22"/>
        </w:rPr>
        <w:t>Le fait de diviser les roulements entre travailleurs à mi-temps entrainerait une augmentation du travail organisationnel, c’est-à-dire la réalisation des plannings jours après jours, ainsi qu’administra</w:t>
      </w:r>
      <w:r w:rsidR="00984048">
        <w:rPr>
          <w:rFonts w:asciiTheme="minorHAnsi" w:hAnsiTheme="minorHAnsi" w:cstheme="minorHAnsi"/>
          <w:sz w:val="22"/>
          <w:szCs w:val="22"/>
        </w:rPr>
        <w:t>tif, c’est-à-dire la gestion des sala</w:t>
      </w:r>
      <w:r w:rsidR="00766345">
        <w:rPr>
          <w:rFonts w:asciiTheme="minorHAnsi" w:hAnsiTheme="minorHAnsi" w:cstheme="minorHAnsi"/>
          <w:sz w:val="22"/>
          <w:szCs w:val="22"/>
        </w:rPr>
        <w:t>i</w:t>
      </w:r>
      <w:r w:rsidR="00984048">
        <w:rPr>
          <w:rFonts w:asciiTheme="minorHAnsi" w:hAnsiTheme="minorHAnsi" w:cstheme="minorHAnsi"/>
          <w:sz w:val="22"/>
          <w:szCs w:val="22"/>
        </w:rPr>
        <w:t>res, des congés, la réalisation des fiches de paie, etc.</w:t>
      </w:r>
      <w:r w:rsidR="0014336D">
        <w:rPr>
          <w:rFonts w:asciiTheme="minorHAnsi" w:hAnsiTheme="minorHAnsi" w:cstheme="minorHAnsi"/>
          <w:sz w:val="22"/>
          <w:szCs w:val="22"/>
        </w:rPr>
        <w:t xml:space="preserve"> A cela, l’OTW ajoute que si les mi-temps médicaux sont autorisés au-delà de 6 mois, </w:t>
      </w:r>
      <w:r w:rsidR="00CB459A">
        <w:rPr>
          <w:rFonts w:asciiTheme="minorHAnsi" w:hAnsiTheme="minorHAnsi" w:cstheme="minorHAnsi"/>
          <w:sz w:val="22"/>
          <w:szCs w:val="22"/>
        </w:rPr>
        <w:t xml:space="preserve">l’effectif de suppléants qui assume les remplacements risque de ne pas être suffisants alors que le dépôt de </w:t>
      </w:r>
      <w:proofErr w:type="spellStart"/>
      <w:r w:rsidR="00AC7907">
        <w:rPr>
          <w:rFonts w:asciiTheme="minorHAnsi" w:hAnsiTheme="minorHAnsi" w:cstheme="minorHAnsi"/>
          <w:sz w:val="22"/>
          <w:szCs w:val="22"/>
        </w:rPr>
        <w:t>Houtsiplou</w:t>
      </w:r>
      <w:proofErr w:type="spellEnd"/>
      <w:r w:rsidR="00CB459A">
        <w:rPr>
          <w:rFonts w:asciiTheme="minorHAnsi" w:hAnsiTheme="minorHAnsi" w:cstheme="minorHAnsi"/>
          <w:sz w:val="22"/>
          <w:szCs w:val="22"/>
        </w:rPr>
        <w:t xml:space="preserve"> souffre déjà d’un important absentéisme.</w:t>
      </w:r>
    </w:p>
    <w:p w14:paraId="4941058A" w14:textId="38F494B2" w:rsidR="00CB459A" w:rsidRDefault="00CB459A" w:rsidP="00CB459A">
      <w:pPr>
        <w:pStyle w:val="Liste"/>
        <w:spacing w:before="100" w:beforeAutospacing="1" w:after="100" w:afterAutospacing="1"/>
        <w:ind w:left="720"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Le Tribunal estime que toutes ces considérations touchent à la </w:t>
      </w:r>
      <w:r w:rsidR="00001D2D">
        <w:rPr>
          <w:rFonts w:asciiTheme="minorHAnsi" w:hAnsiTheme="minorHAnsi" w:cstheme="minorHAnsi"/>
          <w:sz w:val="22"/>
          <w:szCs w:val="22"/>
        </w:rPr>
        <w:t>gestion des ressources humaines, inhérente à tout employeur. Tout particulièrement dans le contexte d’une structure aussi grande que le TEC du Brabant wallon.</w:t>
      </w:r>
    </w:p>
    <w:p w14:paraId="1227FC7E" w14:textId="77777777" w:rsidR="00E929A8" w:rsidRPr="00CB459A" w:rsidRDefault="00E929A8" w:rsidP="00CB459A">
      <w:pPr>
        <w:pStyle w:val="Liste"/>
        <w:spacing w:before="100" w:beforeAutospacing="1" w:after="100" w:afterAutospacing="1"/>
        <w:ind w:left="720" w:firstLine="0"/>
        <w:contextualSpacing/>
        <w:jc w:val="both"/>
        <w:rPr>
          <w:rFonts w:asciiTheme="minorHAnsi" w:hAnsiTheme="minorHAnsi" w:cstheme="minorHAnsi"/>
          <w:sz w:val="22"/>
          <w:szCs w:val="22"/>
        </w:rPr>
      </w:pPr>
    </w:p>
    <w:p w14:paraId="5F3D42A0" w14:textId="1895F3FB" w:rsidR="00911597" w:rsidRDefault="000127BB" w:rsidP="00D368C9">
      <w:pPr>
        <w:pStyle w:val="Liste"/>
        <w:spacing w:before="100" w:beforeAutospacing="1" w:after="100" w:afterAutospacing="1"/>
        <w:ind w:left="0" w:firstLine="0"/>
        <w:contextualSpacing/>
        <w:jc w:val="both"/>
        <w:rPr>
          <w:rFonts w:asciiTheme="minorHAnsi" w:hAnsiTheme="minorHAnsi" w:cstheme="minorHAnsi"/>
          <w:sz w:val="22"/>
          <w:szCs w:val="22"/>
          <w:lang w:val="fr-BE"/>
        </w:rPr>
      </w:pPr>
      <w:r>
        <w:rPr>
          <w:rFonts w:asciiTheme="minorHAnsi" w:hAnsiTheme="minorHAnsi" w:cstheme="minorHAnsi"/>
          <w:sz w:val="22"/>
          <w:szCs w:val="22"/>
        </w:rPr>
        <w:t xml:space="preserve">Pour rappel, </w:t>
      </w:r>
      <w:r w:rsidR="00F35691">
        <w:rPr>
          <w:rFonts w:asciiTheme="minorHAnsi" w:hAnsiTheme="minorHAnsi" w:cstheme="minorHAnsi"/>
          <w:sz w:val="22"/>
          <w:szCs w:val="22"/>
        </w:rPr>
        <w:t xml:space="preserve">l’aménagement raisonnable implique une analyse des besoins concrets de la personne handicapée. A ce stade, le Tribunal est invité à statuer sur la situation de Monsieur </w:t>
      </w:r>
      <w:r w:rsidR="00AC7907">
        <w:rPr>
          <w:rFonts w:asciiTheme="minorHAnsi" w:hAnsiTheme="minorHAnsi" w:cstheme="minorHAnsi"/>
          <w:sz w:val="22"/>
          <w:szCs w:val="22"/>
        </w:rPr>
        <w:t>P</w:t>
      </w:r>
      <w:r w:rsidR="00F35691">
        <w:rPr>
          <w:rFonts w:asciiTheme="minorHAnsi" w:hAnsiTheme="minorHAnsi" w:cstheme="minorHAnsi"/>
          <w:sz w:val="22"/>
          <w:szCs w:val="22"/>
        </w:rPr>
        <w:t xml:space="preserve"> et ne peut anticiper les éventuels cas futurs, abusifs ou non. </w:t>
      </w:r>
      <w:r w:rsidR="004E43F9">
        <w:rPr>
          <w:rFonts w:asciiTheme="minorHAnsi" w:hAnsiTheme="minorHAnsi" w:cstheme="minorHAnsi"/>
          <w:sz w:val="22"/>
          <w:szCs w:val="22"/>
        </w:rPr>
        <w:t xml:space="preserve">Par conséquent, il est difficile d’envisager que </w:t>
      </w:r>
      <w:r w:rsidR="00B74A55">
        <w:rPr>
          <w:rFonts w:asciiTheme="minorHAnsi" w:hAnsiTheme="minorHAnsi" w:cstheme="minorHAnsi"/>
          <w:sz w:val="22"/>
          <w:szCs w:val="22"/>
        </w:rPr>
        <w:t xml:space="preserve">l’aménagement du temps de travail de Monsieur </w:t>
      </w:r>
      <w:r w:rsidR="00AC7907">
        <w:rPr>
          <w:rFonts w:asciiTheme="minorHAnsi" w:hAnsiTheme="minorHAnsi" w:cstheme="minorHAnsi"/>
          <w:sz w:val="22"/>
          <w:szCs w:val="22"/>
        </w:rPr>
        <w:t>P</w:t>
      </w:r>
      <w:r w:rsidR="00B74A55">
        <w:rPr>
          <w:rFonts w:asciiTheme="minorHAnsi" w:hAnsiTheme="minorHAnsi" w:cstheme="minorHAnsi"/>
          <w:sz w:val="22"/>
          <w:szCs w:val="22"/>
        </w:rPr>
        <w:t xml:space="preserve"> seul impliquerait tous les chamboulements </w:t>
      </w:r>
      <w:r w:rsidR="00FC1B81">
        <w:rPr>
          <w:rFonts w:asciiTheme="minorHAnsi" w:hAnsiTheme="minorHAnsi" w:cstheme="minorHAnsi"/>
          <w:sz w:val="22"/>
          <w:szCs w:val="22"/>
        </w:rPr>
        <w:t xml:space="preserve">organisationnels et financiers invoqués par l’OTW. </w:t>
      </w:r>
      <w:r w:rsidR="006010CE">
        <w:rPr>
          <w:rFonts w:asciiTheme="minorHAnsi" w:hAnsiTheme="minorHAnsi" w:cstheme="minorHAnsi"/>
          <w:sz w:val="22"/>
          <w:szCs w:val="22"/>
        </w:rPr>
        <w:t>L</w:t>
      </w:r>
      <w:r w:rsidR="006010CE" w:rsidRPr="006010CE">
        <w:rPr>
          <w:rFonts w:asciiTheme="minorHAnsi" w:hAnsiTheme="minorHAnsi" w:cstheme="minorHAnsi"/>
          <w:sz w:val="22"/>
          <w:szCs w:val="22"/>
          <w:lang w:val="fr-BE"/>
        </w:rPr>
        <w:t xml:space="preserve">a reprise progressive du travail par Monsieur </w:t>
      </w:r>
      <w:r w:rsidR="00AC7907">
        <w:rPr>
          <w:rFonts w:asciiTheme="minorHAnsi" w:hAnsiTheme="minorHAnsi" w:cstheme="minorHAnsi"/>
          <w:sz w:val="22"/>
          <w:szCs w:val="22"/>
          <w:lang w:val="fr-BE"/>
        </w:rPr>
        <w:t>P</w:t>
      </w:r>
      <w:r w:rsidR="006010CE" w:rsidRPr="006010CE">
        <w:rPr>
          <w:rFonts w:asciiTheme="minorHAnsi" w:hAnsiTheme="minorHAnsi" w:cstheme="minorHAnsi"/>
          <w:sz w:val="22"/>
          <w:szCs w:val="22"/>
          <w:lang w:val="fr-BE"/>
        </w:rPr>
        <w:t>, dans le cadre d’un mi-temps médical préconisé par plusieurs médecins, est un aménagement raisonnable au sens de la loi anti-discrimination de 2007, et au sens commun du terme.</w:t>
      </w:r>
      <w:r w:rsidR="006010CE">
        <w:rPr>
          <w:rFonts w:asciiTheme="minorHAnsi" w:hAnsiTheme="minorHAnsi" w:cstheme="minorHAnsi"/>
          <w:sz w:val="22"/>
          <w:szCs w:val="22"/>
          <w:lang w:val="fr-BE"/>
        </w:rPr>
        <w:t xml:space="preserve"> Il n’est ni </w:t>
      </w:r>
      <w:r w:rsidR="00D61DDA">
        <w:rPr>
          <w:rFonts w:asciiTheme="minorHAnsi" w:hAnsiTheme="minorHAnsi" w:cstheme="minorHAnsi"/>
          <w:sz w:val="22"/>
          <w:szCs w:val="22"/>
          <w:lang w:val="fr-BE"/>
        </w:rPr>
        <w:t>insurmontable</w:t>
      </w:r>
      <w:r w:rsidR="006010CE">
        <w:rPr>
          <w:rFonts w:asciiTheme="minorHAnsi" w:hAnsiTheme="minorHAnsi" w:cstheme="minorHAnsi"/>
          <w:sz w:val="22"/>
          <w:szCs w:val="22"/>
          <w:lang w:val="fr-BE"/>
        </w:rPr>
        <w:t xml:space="preserve">, ni </w:t>
      </w:r>
      <w:r w:rsidR="00D61DDA">
        <w:rPr>
          <w:rFonts w:asciiTheme="minorHAnsi" w:hAnsiTheme="minorHAnsi" w:cstheme="minorHAnsi"/>
          <w:sz w:val="22"/>
          <w:szCs w:val="22"/>
          <w:lang w:val="fr-BE"/>
        </w:rPr>
        <w:t>disproportionné.</w:t>
      </w:r>
    </w:p>
    <w:p w14:paraId="51FD9F5D" w14:textId="77777777" w:rsidR="00D12350" w:rsidRDefault="00D12350" w:rsidP="00D368C9">
      <w:pPr>
        <w:pStyle w:val="Liste"/>
        <w:spacing w:before="100" w:beforeAutospacing="1" w:after="100" w:afterAutospacing="1"/>
        <w:ind w:left="0" w:firstLine="0"/>
        <w:contextualSpacing/>
        <w:jc w:val="both"/>
        <w:rPr>
          <w:rFonts w:asciiTheme="minorHAnsi" w:hAnsiTheme="minorHAnsi" w:cstheme="minorHAnsi"/>
          <w:sz w:val="22"/>
          <w:szCs w:val="22"/>
          <w:lang w:val="fr-BE"/>
        </w:rPr>
      </w:pPr>
    </w:p>
    <w:p w14:paraId="30B2DFD6" w14:textId="3F868720" w:rsidR="00D12350" w:rsidRDefault="00D12350" w:rsidP="00D368C9">
      <w:pPr>
        <w:pStyle w:val="Liste"/>
        <w:spacing w:before="100" w:beforeAutospacing="1" w:after="100" w:afterAutospacing="1"/>
        <w:ind w:left="0" w:firstLine="0"/>
        <w:contextualSpacing/>
        <w:jc w:val="both"/>
        <w:rPr>
          <w:rFonts w:asciiTheme="minorHAnsi" w:hAnsiTheme="minorHAnsi" w:cstheme="minorHAnsi"/>
          <w:sz w:val="22"/>
          <w:szCs w:val="22"/>
          <w:lang w:val="fr-BE"/>
        </w:rPr>
      </w:pPr>
      <w:r w:rsidRPr="00D12350">
        <w:rPr>
          <w:rFonts w:asciiTheme="minorHAnsi" w:hAnsiTheme="minorHAnsi" w:cstheme="minorHAnsi"/>
          <w:sz w:val="22"/>
          <w:szCs w:val="22"/>
          <w:lang w:val="fr-BE"/>
        </w:rPr>
        <w:t>Les difficultés d’organisation et de planification du travail par son employeur, certainement réelles,  sont un moindre mal, par rapport au fait que depuis fin juin 2021 (plus de deux ans !), il ne travaille pas du tout, malgré sa volonté</w:t>
      </w:r>
      <w:r w:rsidR="006F4139">
        <w:rPr>
          <w:rFonts w:asciiTheme="minorHAnsi" w:hAnsiTheme="minorHAnsi" w:cstheme="minorHAnsi"/>
          <w:sz w:val="22"/>
          <w:szCs w:val="22"/>
          <w:lang w:val="fr-BE"/>
        </w:rPr>
        <w:t xml:space="preserve"> de travailler</w:t>
      </w:r>
      <w:r w:rsidRPr="00D12350">
        <w:rPr>
          <w:rFonts w:asciiTheme="minorHAnsi" w:hAnsiTheme="minorHAnsi" w:cstheme="minorHAnsi"/>
          <w:sz w:val="22"/>
          <w:szCs w:val="22"/>
          <w:lang w:val="fr-BE"/>
        </w:rPr>
        <w:t xml:space="preserve"> de façon compatible avec le handicap dont il souffre.</w:t>
      </w:r>
    </w:p>
    <w:p w14:paraId="58B7610B" w14:textId="77777777" w:rsidR="00FE0A21" w:rsidRDefault="00FE0A21" w:rsidP="00D368C9">
      <w:pPr>
        <w:pStyle w:val="Liste"/>
        <w:spacing w:before="100" w:beforeAutospacing="1" w:after="100" w:afterAutospacing="1"/>
        <w:ind w:left="0" w:firstLine="0"/>
        <w:contextualSpacing/>
        <w:jc w:val="both"/>
        <w:rPr>
          <w:rFonts w:asciiTheme="minorHAnsi" w:hAnsiTheme="minorHAnsi" w:cstheme="minorHAnsi"/>
          <w:sz w:val="22"/>
          <w:szCs w:val="22"/>
          <w:lang w:val="fr-BE"/>
        </w:rPr>
      </w:pPr>
    </w:p>
    <w:p w14:paraId="01C619B1" w14:textId="4C44CE43" w:rsidR="00FE0A21" w:rsidRPr="00FE0A21" w:rsidRDefault="00FE0A21"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FE0A21">
        <w:rPr>
          <w:rFonts w:asciiTheme="minorHAnsi" w:hAnsiTheme="minorHAnsi" w:cstheme="minorHAnsi"/>
          <w:sz w:val="22"/>
          <w:szCs w:val="22"/>
        </w:rPr>
        <w:t>L’assureur-loi lui verse depuis sa rémunération dans le cadre du régime de l’incapacité temporaire, avant que le cas ne soit un jour consolidé, mais cette solution n’est pas en phase avec la réalité et la lutte contre les discriminations.</w:t>
      </w:r>
    </w:p>
    <w:p w14:paraId="6D1EE917" w14:textId="77777777" w:rsidR="00553067" w:rsidRDefault="00553067" w:rsidP="00D368C9">
      <w:pPr>
        <w:pStyle w:val="Liste"/>
        <w:spacing w:before="100" w:beforeAutospacing="1" w:after="100" w:afterAutospacing="1"/>
        <w:ind w:left="0" w:firstLine="0"/>
        <w:contextualSpacing/>
        <w:jc w:val="both"/>
        <w:rPr>
          <w:rFonts w:asciiTheme="minorHAnsi" w:hAnsiTheme="minorHAnsi" w:cstheme="minorHAnsi"/>
          <w:sz w:val="22"/>
          <w:szCs w:val="22"/>
          <w:lang w:val="fr-BE"/>
        </w:rPr>
      </w:pPr>
    </w:p>
    <w:p w14:paraId="339A256E" w14:textId="4328234D" w:rsidR="00553067" w:rsidRPr="00553067" w:rsidRDefault="00553067" w:rsidP="00D368C9">
      <w:pPr>
        <w:pStyle w:val="Liste"/>
        <w:spacing w:before="100" w:beforeAutospacing="1" w:after="100" w:afterAutospacing="1"/>
        <w:ind w:left="0" w:firstLine="0"/>
        <w:contextualSpacing/>
        <w:jc w:val="both"/>
        <w:rPr>
          <w:rFonts w:asciiTheme="minorHAnsi" w:hAnsiTheme="minorHAnsi" w:cstheme="minorHAnsi"/>
          <w:sz w:val="22"/>
          <w:szCs w:val="22"/>
          <w:lang w:val="fr-BE"/>
        </w:rPr>
      </w:pPr>
      <w:r w:rsidRPr="00553067">
        <w:rPr>
          <w:rFonts w:asciiTheme="minorHAnsi" w:hAnsiTheme="minorHAnsi" w:cstheme="minorHAnsi"/>
          <w:sz w:val="22"/>
          <w:szCs w:val="22"/>
          <w:lang w:val="fr-BE"/>
        </w:rPr>
        <w:t xml:space="preserve">Dans ces conditions, </w:t>
      </w:r>
      <w:r w:rsidR="00694141">
        <w:rPr>
          <w:rFonts w:asciiTheme="minorHAnsi" w:hAnsiTheme="minorHAnsi" w:cstheme="minorHAnsi"/>
          <w:sz w:val="22"/>
          <w:szCs w:val="22"/>
          <w:lang w:val="fr-BE"/>
        </w:rPr>
        <w:t>le Tribunal</w:t>
      </w:r>
      <w:r w:rsidRPr="00553067">
        <w:rPr>
          <w:rFonts w:asciiTheme="minorHAnsi" w:hAnsiTheme="minorHAnsi" w:cstheme="minorHAnsi"/>
          <w:sz w:val="22"/>
          <w:szCs w:val="22"/>
          <w:lang w:val="fr-BE"/>
        </w:rPr>
        <w:t xml:space="preserve"> estime que Monsieur </w:t>
      </w:r>
      <w:r w:rsidR="00AC7907">
        <w:rPr>
          <w:rFonts w:asciiTheme="minorHAnsi" w:hAnsiTheme="minorHAnsi" w:cstheme="minorHAnsi"/>
          <w:sz w:val="22"/>
          <w:szCs w:val="22"/>
          <w:lang w:val="fr-BE"/>
        </w:rPr>
        <w:t>P</w:t>
      </w:r>
      <w:r w:rsidRPr="00553067">
        <w:rPr>
          <w:rFonts w:asciiTheme="minorHAnsi" w:hAnsiTheme="minorHAnsi" w:cstheme="minorHAnsi"/>
          <w:sz w:val="22"/>
          <w:szCs w:val="22"/>
          <w:lang w:val="fr-BE"/>
        </w:rPr>
        <w:t xml:space="preserve"> établit le refus d’aménagements raisonnables et par conséquent la discrimination</w:t>
      </w:r>
      <w:r>
        <w:rPr>
          <w:rFonts w:asciiTheme="minorHAnsi" w:hAnsiTheme="minorHAnsi" w:cstheme="minorHAnsi"/>
          <w:sz w:val="22"/>
          <w:szCs w:val="22"/>
          <w:lang w:val="fr-BE"/>
        </w:rPr>
        <w:t>.</w:t>
      </w:r>
      <w:r w:rsidR="002B5236">
        <w:rPr>
          <w:rFonts w:asciiTheme="minorHAnsi" w:hAnsiTheme="minorHAnsi" w:cstheme="minorHAnsi"/>
          <w:sz w:val="22"/>
          <w:szCs w:val="22"/>
          <w:lang w:val="fr-BE"/>
        </w:rPr>
        <w:t xml:space="preserve"> </w:t>
      </w:r>
    </w:p>
    <w:p w14:paraId="71007E15" w14:textId="77777777" w:rsidR="000127BB" w:rsidRPr="006E3CAB" w:rsidRDefault="000127BB"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0B3FC63A" w14:textId="093464D6" w:rsidR="00086AB4" w:rsidRDefault="00B528B9" w:rsidP="00D368C9">
      <w:pPr>
        <w:pStyle w:val="Liste"/>
        <w:spacing w:before="100" w:beforeAutospacing="1" w:after="100" w:afterAutospacing="1"/>
        <w:ind w:left="0" w:firstLine="0"/>
        <w:contextualSpacing/>
        <w:jc w:val="both"/>
        <w:rPr>
          <w:rFonts w:asciiTheme="minorHAnsi" w:hAnsiTheme="minorHAnsi" w:cstheme="minorHAnsi"/>
          <w:sz w:val="22"/>
          <w:szCs w:val="22"/>
          <w:lang w:val="fr-BE"/>
        </w:rPr>
      </w:pPr>
      <w:r w:rsidRPr="006E3CAB">
        <w:rPr>
          <w:rFonts w:asciiTheme="minorHAnsi" w:hAnsiTheme="minorHAnsi" w:cstheme="minorHAnsi"/>
          <w:sz w:val="22"/>
          <w:szCs w:val="22"/>
        </w:rPr>
        <w:t>Par ailleurs,</w:t>
      </w:r>
      <w:r w:rsidR="00E938C6">
        <w:rPr>
          <w:rFonts w:asciiTheme="minorHAnsi" w:hAnsiTheme="minorHAnsi" w:cstheme="minorHAnsi"/>
          <w:sz w:val="22"/>
          <w:szCs w:val="22"/>
        </w:rPr>
        <w:t xml:space="preserve"> c</w:t>
      </w:r>
      <w:r w:rsidR="00BC3D42">
        <w:rPr>
          <w:rFonts w:asciiTheme="minorHAnsi" w:hAnsiTheme="minorHAnsi" w:cstheme="minorHAnsi"/>
          <w:sz w:val="22"/>
          <w:szCs w:val="22"/>
        </w:rPr>
        <w:t>oncernant c</w:t>
      </w:r>
      <w:r w:rsidR="00E938C6">
        <w:rPr>
          <w:rFonts w:asciiTheme="minorHAnsi" w:hAnsiTheme="minorHAnsi" w:cstheme="minorHAnsi"/>
          <w:sz w:val="22"/>
          <w:szCs w:val="22"/>
        </w:rPr>
        <w:t xml:space="preserve">ette même convention, dont l’objectif est définitivement remis en cause, </w:t>
      </w:r>
      <w:r w:rsidR="00911597" w:rsidRPr="006E3CAB">
        <w:rPr>
          <w:rFonts w:asciiTheme="minorHAnsi" w:hAnsiTheme="minorHAnsi" w:cstheme="minorHAnsi"/>
          <w:sz w:val="22"/>
          <w:szCs w:val="22"/>
        </w:rPr>
        <w:t xml:space="preserve">il convient d’ajouter </w:t>
      </w:r>
      <w:r w:rsidR="001A2635">
        <w:rPr>
          <w:rFonts w:asciiTheme="minorHAnsi" w:hAnsiTheme="minorHAnsi" w:cstheme="minorHAnsi"/>
          <w:sz w:val="22"/>
          <w:szCs w:val="22"/>
        </w:rPr>
        <w:t>qu’</w:t>
      </w:r>
      <w:r w:rsidR="00BC3D42">
        <w:rPr>
          <w:rFonts w:asciiTheme="minorHAnsi" w:hAnsiTheme="minorHAnsi" w:cstheme="minorHAnsi"/>
          <w:sz w:val="22"/>
          <w:szCs w:val="22"/>
        </w:rPr>
        <w:t xml:space="preserve">une </w:t>
      </w:r>
      <w:r w:rsidR="00911597" w:rsidRPr="006E3CAB">
        <w:rPr>
          <w:rFonts w:asciiTheme="minorHAnsi" w:hAnsiTheme="minorHAnsi" w:cstheme="minorHAnsi"/>
          <w:sz w:val="22"/>
          <w:szCs w:val="22"/>
        </w:rPr>
        <w:t xml:space="preserve">nouvelle convention collective de travail </w:t>
      </w:r>
      <w:r w:rsidR="009A32F5">
        <w:rPr>
          <w:rFonts w:asciiTheme="minorHAnsi" w:hAnsiTheme="minorHAnsi" w:cstheme="minorHAnsi"/>
          <w:sz w:val="22"/>
          <w:szCs w:val="22"/>
        </w:rPr>
        <w:t>relative au mi-temps médical est entrée en vigueur à la date de sa signature soit, le 16 février 2023</w:t>
      </w:r>
      <w:r w:rsidR="00042AAE">
        <w:rPr>
          <w:rStyle w:val="Appelnotedebasdep"/>
          <w:rFonts w:asciiTheme="minorHAnsi" w:hAnsiTheme="minorHAnsi" w:cstheme="minorHAnsi"/>
          <w:sz w:val="22"/>
          <w:szCs w:val="22"/>
        </w:rPr>
        <w:footnoteReference w:id="17"/>
      </w:r>
      <w:r w:rsidR="00042AAE">
        <w:rPr>
          <w:rFonts w:asciiTheme="minorHAnsi" w:hAnsiTheme="minorHAnsi" w:cstheme="minorHAnsi"/>
          <w:sz w:val="22"/>
          <w:szCs w:val="22"/>
        </w:rPr>
        <w:t>.</w:t>
      </w:r>
      <w:r w:rsidR="00042AAE">
        <w:rPr>
          <w:rFonts w:asciiTheme="minorHAnsi" w:hAnsiTheme="minorHAnsi"/>
          <w:sz w:val="22"/>
          <w:szCs w:val="22"/>
        </w:rPr>
        <w:t xml:space="preserve"> Cette nouvelle </w:t>
      </w:r>
      <w:r w:rsidR="00042AAE" w:rsidRPr="005E2FC9">
        <w:rPr>
          <w:rFonts w:asciiTheme="minorHAnsi" w:hAnsiTheme="minorHAnsi"/>
          <w:sz w:val="22"/>
          <w:szCs w:val="22"/>
        </w:rPr>
        <w:t>convention</w:t>
      </w:r>
      <w:r w:rsidR="00911597" w:rsidRPr="005E2FC9">
        <w:rPr>
          <w:rFonts w:asciiTheme="minorHAnsi" w:hAnsiTheme="minorHAnsi" w:cstheme="minorHAnsi"/>
          <w:sz w:val="22"/>
          <w:szCs w:val="22"/>
        </w:rPr>
        <w:t xml:space="preserve"> abroge la précédente et </w:t>
      </w:r>
      <w:r w:rsidR="005E2FC9" w:rsidRPr="005E2FC9">
        <w:rPr>
          <w:rFonts w:asciiTheme="minorHAnsi" w:hAnsiTheme="minorHAnsi" w:cstheme="minorHAnsi"/>
          <w:sz w:val="22"/>
          <w:szCs w:val="22"/>
        </w:rPr>
        <w:t xml:space="preserve">bien qu’elle </w:t>
      </w:r>
      <w:r w:rsidR="00911597" w:rsidRPr="005E2FC9">
        <w:rPr>
          <w:rFonts w:asciiTheme="minorHAnsi" w:hAnsiTheme="minorHAnsi" w:cstheme="minorHAnsi"/>
          <w:sz w:val="22"/>
          <w:szCs w:val="22"/>
        </w:rPr>
        <w:t xml:space="preserve">en adoucit les principes, </w:t>
      </w:r>
      <w:r w:rsidR="005E2FC9" w:rsidRPr="005E2FC9">
        <w:rPr>
          <w:rFonts w:asciiTheme="minorHAnsi" w:hAnsiTheme="minorHAnsi" w:cstheme="minorHAnsi"/>
          <w:sz w:val="22"/>
          <w:szCs w:val="22"/>
        </w:rPr>
        <w:t xml:space="preserve">elle </w:t>
      </w:r>
      <w:r w:rsidR="00911597" w:rsidRPr="005E2FC9">
        <w:rPr>
          <w:rFonts w:asciiTheme="minorHAnsi" w:hAnsiTheme="minorHAnsi" w:cstheme="minorHAnsi"/>
          <w:sz w:val="22"/>
          <w:szCs w:val="22"/>
        </w:rPr>
        <w:t>ne</w:t>
      </w:r>
      <w:r w:rsidR="00911597" w:rsidRPr="006E3CAB">
        <w:rPr>
          <w:rFonts w:asciiTheme="minorHAnsi" w:hAnsiTheme="minorHAnsi" w:cstheme="minorHAnsi"/>
          <w:sz w:val="22"/>
          <w:szCs w:val="22"/>
        </w:rPr>
        <w:t xml:space="preserve"> règle pas le problème, puisque dans les faits, l’OTW</w:t>
      </w:r>
      <w:r w:rsidR="00911597" w:rsidRPr="006E3CAB">
        <w:rPr>
          <w:rFonts w:asciiTheme="minorHAnsi" w:hAnsiTheme="minorHAnsi" w:cstheme="minorHAnsi"/>
          <w:sz w:val="22"/>
          <w:szCs w:val="22"/>
          <w:lang w:val="fr-BE"/>
        </w:rPr>
        <w:t xml:space="preserve"> refuse encore à Monsieur </w:t>
      </w:r>
      <w:r w:rsidR="00AC7907">
        <w:rPr>
          <w:rFonts w:asciiTheme="minorHAnsi" w:hAnsiTheme="minorHAnsi" w:cstheme="minorHAnsi"/>
          <w:sz w:val="22"/>
          <w:szCs w:val="22"/>
          <w:lang w:val="fr-BE"/>
        </w:rPr>
        <w:t>P</w:t>
      </w:r>
      <w:r w:rsidR="00911597" w:rsidRPr="006E3CAB">
        <w:rPr>
          <w:rFonts w:asciiTheme="minorHAnsi" w:hAnsiTheme="minorHAnsi" w:cstheme="minorHAnsi"/>
          <w:sz w:val="22"/>
          <w:szCs w:val="22"/>
          <w:lang w:val="fr-BE"/>
        </w:rPr>
        <w:t xml:space="preserve"> de reprendre le travail à mi-temps</w:t>
      </w:r>
      <w:r w:rsidR="00025E12" w:rsidRPr="006E3CAB">
        <w:rPr>
          <w:rFonts w:asciiTheme="minorHAnsi" w:hAnsiTheme="minorHAnsi" w:cstheme="minorHAnsi"/>
          <w:sz w:val="22"/>
          <w:szCs w:val="22"/>
          <w:lang w:val="fr-BE"/>
        </w:rPr>
        <w:t xml:space="preserve"> </w:t>
      </w:r>
      <w:r w:rsidR="009C3936" w:rsidRPr="006E3CAB">
        <w:rPr>
          <w:rFonts w:asciiTheme="minorHAnsi" w:hAnsiTheme="minorHAnsi" w:cstheme="minorHAnsi"/>
          <w:sz w:val="22"/>
          <w:szCs w:val="22"/>
          <w:lang w:val="fr-BE"/>
        </w:rPr>
        <w:t>en raison de son problème médical</w:t>
      </w:r>
      <w:r w:rsidR="00911597" w:rsidRPr="006E3CAB">
        <w:rPr>
          <w:rFonts w:asciiTheme="minorHAnsi" w:hAnsiTheme="minorHAnsi" w:cstheme="minorHAnsi"/>
          <w:sz w:val="22"/>
          <w:szCs w:val="22"/>
          <w:lang w:val="fr-BE"/>
        </w:rPr>
        <w:t>.</w:t>
      </w:r>
      <w:r w:rsidR="00B82AC9">
        <w:rPr>
          <w:rFonts w:asciiTheme="minorHAnsi" w:hAnsiTheme="minorHAnsi" w:cstheme="minorHAnsi"/>
          <w:sz w:val="22"/>
          <w:szCs w:val="22"/>
          <w:lang w:val="fr-BE"/>
        </w:rPr>
        <w:t xml:space="preserve"> </w:t>
      </w:r>
    </w:p>
    <w:p w14:paraId="33497A4B" w14:textId="77777777" w:rsidR="00915BC3" w:rsidRDefault="00915BC3" w:rsidP="00D368C9">
      <w:pPr>
        <w:pStyle w:val="Liste"/>
        <w:spacing w:before="100" w:beforeAutospacing="1" w:after="100" w:afterAutospacing="1"/>
        <w:ind w:left="0" w:firstLine="0"/>
        <w:contextualSpacing/>
        <w:jc w:val="both"/>
        <w:rPr>
          <w:rFonts w:asciiTheme="minorHAnsi" w:hAnsiTheme="minorHAnsi" w:cstheme="minorHAnsi"/>
          <w:sz w:val="22"/>
          <w:szCs w:val="22"/>
          <w:lang w:val="fr-BE"/>
        </w:rPr>
      </w:pPr>
    </w:p>
    <w:p w14:paraId="13E1AFC5" w14:textId="7F3351F9" w:rsidR="00086AB4" w:rsidRPr="00B112EB" w:rsidRDefault="00086AB4" w:rsidP="00D368C9">
      <w:pPr>
        <w:pStyle w:val="Liste"/>
        <w:spacing w:before="100" w:beforeAutospacing="1" w:after="100" w:afterAutospacing="1"/>
        <w:ind w:left="0" w:firstLine="0"/>
        <w:contextualSpacing/>
        <w:jc w:val="both"/>
        <w:rPr>
          <w:rFonts w:asciiTheme="minorHAnsi" w:hAnsiTheme="minorHAnsi" w:cstheme="minorHAnsi"/>
          <w:sz w:val="22"/>
          <w:szCs w:val="22"/>
        </w:rPr>
      </w:pPr>
      <w:r w:rsidRPr="00B112EB">
        <w:rPr>
          <w:rFonts w:asciiTheme="minorHAnsi" w:hAnsiTheme="minorHAnsi" w:cstheme="minorHAnsi"/>
          <w:sz w:val="22"/>
          <w:szCs w:val="22"/>
        </w:rPr>
        <w:t xml:space="preserve">Le tribunal estime que l’OTW ne démontre pas que des aménagements raisonnables sont tout à fait </w:t>
      </w:r>
      <w:r w:rsidR="002E216C" w:rsidRPr="00B112EB">
        <w:rPr>
          <w:rFonts w:asciiTheme="minorHAnsi" w:hAnsiTheme="minorHAnsi" w:cstheme="minorHAnsi"/>
          <w:sz w:val="22"/>
          <w:szCs w:val="22"/>
        </w:rPr>
        <w:t>in</w:t>
      </w:r>
      <w:r w:rsidRPr="00B112EB">
        <w:rPr>
          <w:rFonts w:asciiTheme="minorHAnsi" w:hAnsiTheme="minorHAnsi" w:cstheme="minorHAnsi"/>
          <w:sz w:val="22"/>
          <w:szCs w:val="22"/>
        </w:rPr>
        <w:t>accessibles (reprise du travail à mi-temps jusqu’au moment où la reprise à temps plein sera possible).</w:t>
      </w:r>
    </w:p>
    <w:p w14:paraId="5420CB84" w14:textId="77777777" w:rsidR="00086AB4" w:rsidRPr="00B112EB" w:rsidRDefault="00086AB4"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092C7494" w14:textId="2325CFAC" w:rsidR="00086AB4" w:rsidRDefault="00086AB4"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B112EB">
        <w:rPr>
          <w:rFonts w:asciiTheme="minorHAnsi" w:hAnsiTheme="minorHAnsi" w:cstheme="minorHAnsi"/>
          <w:bCs/>
          <w:sz w:val="22"/>
          <w:szCs w:val="22"/>
        </w:rPr>
        <w:t xml:space="preserve">Le tribunal considère que l’action de Monsieur </w:t>
      </w:r>
      <w:r w:rsidR="00AC7907">
        <w:rPr>
          <w:rFonts w:asciiTheme="minorHAnsi" w:hAnsiTheme="minorHAnsi" w:cstheme="minorHAnsi"/>
          <w:bCs/>
          <w:sz w:val="22"/>
          <w:szCs w:val="22"/>
        </w:rPr>
        <w:t>P</w:t>
      </w:r>
      <w:r w:rsidRPr="00B112EB">
        <w:rPr>
          <w:rFonts w:asciiTheme="minorHAnsi" w:hAnsiTheme="minorHAnsi" w:cstheme="minorHAnsi"/>
          <w:bCs/>
          <w:sz w:val="22"/>
          <w:szCs w:val="22"/>
        </w:rPr>
        <w:t xml:space="preserve"> est fondée.</w:t>
      </w:r>
    </w:p>
    <w:p w14:paraId="6D66AE14" w14:textId="77777777" w:rsidR="00915BC3" w:rsidRPr="006E3CAB" w:rsidRDefault="00915BC3"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0980FB48" w14:textId="77777777" w:rsidR="00086AB4" w:rsidRPr="006E3CAB" w:rsidRDefault="00086AB4"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7C4D1553" w14:textId="23260EA0" w:rsidR="007B22E0" w:rsidRPr="00634FF2" w:rsidRDefault="00911597" w:rsidP="002E216C">
      <w:pPr>
        <w:pStyle w:val="Liste"/>
        <w:numPr>
          <w:ilvl w:val="0"/>
          <w:numId w:val="29"/>
        </w:numPr>
        <w:spacing w:before="100" w:beforeAutospacing="1" w:after="100" w:afterAutospacing="1"/>
        <w:contextualSpacing/>
        <w:jc w:val="both"/>
        <w:rPr>
          <w:rFonts w:asciiTheme="minorHAnsi" w:hAnsiTheme="minorHAnsi" w:cstheme="minorHAnsi"/>
          <w:sz w:val="22"/>
          <w:szCs w:val="22"/>
          <w:u w:val="single"/>
        </w:rPr>
      </w:pPr>
      <w:r w:rsidRPr="00634FF2">
        <w:rPr>
          <w:rFonts w:asciiTheme="minorHAnsi" w:hAnsiTheme="minorHAnsi" w:cstheme="minorHAnsi"/>
          <w:sz w:val="22"/>
          <w:szCs w:val="22"/>
          <w:u w:val="single"/>
        </w:rPr>
        <w:t>Quant à l’indemnisation forfaitaire du préjudice subi du fait de la discrimination</w:t>
      </w:r>
    </w:p>
    <w:p w14:paraId="546BBD35" w14:textId="29728DDF" w:rsidR="001A4516" w:rsidRPr="006E3CAB" w:rsidRDefault="00B9239B" w:rsidP="001A4516">
      <w:pPr>
        <w:pStyle w:val="Corpsdetexte"/>
        <w:tabs>
          <w:tab w:val="right" w:pos="7088"/>
        </w:tabs>
        <w:spacing w:before="100" w:beforeAutospacing="1" w:after="100" w:afterAutospacing="1"/>
        <w:contextualSpacing/>
        <w:rPr>
          <w:rFonts w:asciiTheme="minorHAnsi" w:hAnsiTheme="minorHAnsi" w:cstheme="minorHAnsi"/>
          <w:bCs/>
          <w:sz w:val="22"/>
          <w:szCs w:val="22"/>
        </w:rPr>
      </w:pPr>
      <w:r>
        <w:rPr>
          <w:rFonts w:asciiTheme="minorHAnsi" w:hAnsiTheme="minorHAnsi" w:cstheme="minorHAnsi"/>
          <w:bCs/>
          <w:sz w:val="22"/>
          <w:szCs w:val="22"/>
        </w:rPr>
        <w:t>Le</w:t>
      </w:r>
      <w:r w:rsidR="00911597" w:rsidRPr="006E3CAB">
        <w:rPr>
          <w:rFonts w:asciiTheme="minorHAnsi" w:hAnsiTheme="minorHAnsi" w:cstheme="minorHAnsi"/>
          <w:bCs/>
          <w:sz w:val="22"/>
          <w:szCs w:val="22"/>
        </w:rPr>
        <w:t xml:space="preserve"> président du tribunal peut octroyer à </w:t>
      </w:r>
      <w:r>
        <w:rPr>
          <w:rFonts w:asciiTheme="minorHAnsi" w:hAnsiTheme="minorHAnsi" w:cstheme="minorHAnsi"/>
          <w:bCs/>
          <w:sz w:val="22"/>
          <w:szCs w:val="22"/>
        </w:rPr>
        <w:t>la victime de la discrimination</w:t>
      </w:r>
      <w:r w:rsidR="00911597" w:rsidRPr="006E3CAB">
        <w:rPr>
          <w:rFonts w:asciiTheme="minorHAnsi" w:hAnsiTheme="minorHAnsi" w:cstheme="minorHAnsi"/>
          <w:bCs/>
          <w:sz w:val="22"/>
          <w:szCs w:val="22"/>
        </w:rPr>
        <w:t xml:space="preserve"> l'indemnisation visée à l'article 1</w:t>
      </w:r>
      <w:r>
        <w:rPr>
          <w:rFonts w:asciiTheme="minorHAnsi" w:hAnsiTheme="minorHAnsi" w:cstheme="minorHAnsi"/>
          <w:bCs/>
          <w:sz w:val="22"/>
          <w:szCs w:val="22"/>
        </w:rPr>
        <w:t>9</w:t>
      </w:r>
      <w:r w:rsidR="00911597" w:rsidRPr="006E3CAB">
        <w:rPr>
          <w:rFonts w:asciiTheme="minorHAnsi" w:hAnsiTheme="minorHAnsi" w:cstheme="minorHAnsi"/>
          <w:bCs/>
          <w:sz w:val="22"/>
          <w:szCs w:val="22"/>
        </w:rPr>
        <w:t>, § 2, à la demande de la victime, et est donc compétent matériellement pour ce faire.</w:t>
      </w:r>
    </w:p>
    <w:p w14:paraId="2262CCBC" w14:textId="1239FD88" w:rsidR="00911597" w:rsidRPr="006E3CAB" w:rsidRDefault="00CB4261"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Pr>
          <w:rFonts w:asciiTheme="minorHAnsi" w:hAnsiTheme="minorHAnsi" w:cstheme="minorHAnsi"/>
          <w:bCs/>
          <w:sz w:val="22"/>
          <w:szCs w:val="22"/>
        </w:rPr>
        <w:t>Cert article</w:t>
      </w:r>
      <w:r w:rsidR="00911597" w:rsidRPr="006E3CAB">
        <w:rPr>
          <w:rFonts w:asciiTheme="minorHAnsi" w:hAnsiTheme="minorHAnsi" w:cstheme="minorHAnsi"/>
          <w:bCs/>
          <w:sz w:val="22"/>
          <w:szCs w:val="22"/>
        </w:rPr>
        <w:t xml:space="preserve"> met en place un système forfaitaire d’indemnisation.</w:t>
      </w:r>
    </w:p>
    <w:p w14:paraId="34104CC1" w14:textId="2403C743" w:rsidR="001F6DE8" w:rsidRPr="00826437" w:rsidRDefault="00911597" w:rsidP="00646143">
      <w:pPr>
        <w:pStyle w:val="Corpsdetexte"/>
        <w:tabs>
          <w:tab w:val="right" w:pos="7088"/>
        </w:tabs>
        <w:spacing w:before="100" w:beforeAutospacing="1" w:after="100" w:afterAutospacing="1"/>
        <w:ind w:left="567"/>
        <w:contextualSpacing/>
        <w:rPr>
          <w:rFonts w:asciiTheme="minorHAnsi" w:hAnsiTheme="minorHAnsi" w:cstheme="minorHAnsi"/>
          <w:i/>
          <w:iCs/>
          <w:sz w:val="22"/>
          <w:szCs w:val="22"/>
        </w:rPr>
      </w:pPr>
      <w:r w:rsidRPr="006E3CAB">
        <w:rPr>
          <w:rFonts w:asciiTheme="minorHAnsi" w:hAnsiTheme="minorHAnsi" w:cstheme="minorHAnsi"/>
          <w:b/>
          <w:bCs/>
          <w:color w:val="000000"/>
          <w:sz w:val="22"/>
          <w:szCs w:val="22"/>
        </w:rPr>
        <w:t> </w:t>
      </w:r>
      <w:r w:rsidRPr="006E3CAB">
        <w:rPr>
          <w:rFonts w:asciiTheme="minorHAnsi" w:hAnsiTheme="minorHAnsi" w:cstheme="minorHAnsi"/>
          <w:sz w:val="22"/>
          <w:szCs w:val="22"/>
        </w:rPr>
        <w:t>« </w:t>
      </w:r>
      <w:r w:rsidR="001F6DE8" w:rsidRPr="00826437">
        <w:rPr>
          <w:rFonts w:asciiTheme="minorHAnsi" w:hAnsiTheme="minorHAnsi" w:cstheme="minorHAnsi"/>
          <w:i/>
          <w:iCs/>
          <w:sz w:val="22"/>
          <w:szCs w:val="22"/>
        </w:rPr>
        <w:t>§1er. En cas de discrimination, la victime peut réclamer une indemnisation de son préjudice en application du droit de la responsabilité contractuelle ou extracontractuelle.</w:t>
      </w:r>
    </w:p>
    <w:p w14:paraId="705D5DC1" w14:textId="311DFCF0" w:rsidR="001F6DE8" w:rsidRPr="00826437" w:rsidRDefault="001F6DE8" w:rsidP="00646143">
      <w:pPr>
        <w:pStyle w:val="Corpsdetexte"/>
        <w:tabs>
          <w:tab w:val="right" w:pos="7088"/>
        </w:tabs>
        <w:spacing w:before="100" w:beforeAutospacing="1" w:after="100" w:afterAutospacing="1"/>
        <w:ind w:left="567"/>
        <w:contextualSpacing/>
        <w:rPr>
          <w:rFonts w:asciiTheme="minorHAnsi" w:hAnsiTheme="minorHAnsi" w:cstheme="minorHAnsi"/>
          <w:i/>
          <w:iCs/>
          <w:sz w:val="22"/>
          <w:szCs w:val="22"/>
        </w:rPr>
      </w:pPr>
      <w:r w:rsidRPr="00826437">
        <w:rPr>
          <w:rFonts w:asciiTheme="minorHAnsi" w:hAnsiTheme="minorHAnsi" w:cstheme="minorHAnsi"/>
          <w:i/>
          <w:iCs/>
          <w:sz w:val="22"/>
          <w:szCs w:val="22"/>
        </w:rPr>
        <w:t xml:space="preserve">Dans les circonstances ci-après visées, la personne qui a contrevenu à l'interdiction de la discrimination doit verser à la victime une indemnité correspondant, </w:t>
      </w:r>
      <w:r w:rsidRPr="0001400F">
        <w:rPr>
          <w:rFonts w:asciiTheme="minorHAnsi" w:hAnsiTheme="minorHAnsi" w:cstheme="minorHAnsi"/>
          <w:b/>
          <w:bCs/>
          <w:i/>
          <w:iCs/>
          <w:sz w:val="22"/>
          <w:szCs w:val="22"/>
        </w:rPr>
        <w:t>selon le choix de la victime, soit à une somme fixée conformément au §2</w:t>
      </w:r>
      <w:r w:rsidRPr="00826437">
        <w:rPr>
          <w:rFonts w:asciiTheme="minorHAnsi" w:hAnsiTheme="minorHAnsi" w:cstheme="minorHAnsi"/>
          <w:i/>
          <w:iCs/>
          <w:sz w:val="22"/>
          <w:szCs w:val="22"/>
        </w:rPr>
        <w:t xml:space="preserve">, soit au dommage réellement subi par la victime. Dans ce dernier cas, la victime doit prouver l'étendue du préjudice par elle </w:t>
      </w:r>
      <w:r w:rsidR="00445233" w:rsidRPr="00826437">
        <w:rPr>
          <w:rFonts w:asciiTheme="minorHAnsi" w:hAnsiTheme="minorHAnsi" w:cstheme="minorHAnsi"/>
          <w:i/>
          <w:iCs/>
          <w:sz w:val="22"/>
          <w:szCs w:val="22"/>
        </w:rPr>
        <w:t>subit</w:t>
      </w:r>
      <w:r w:rsidRPr="00826437">
        <w:rPr>
          <w:rFonts w:asciiTheme="minorHAnsi" w:hAnsiTheme="minorHAnsi" w:cstheme="minorHAnsi"/>
          <w:i/>
          <w:iCs/>
          <w:sz w:val="22"/>
          <w:szCs w:val="22"/>
        </w:rPr>
        <w:t>.</w:t>
      </w:r>
    </w:p>
    <w:p w14:paraId="48E2A68E" w14:textId="77777777" w:rsidR="001F6DE8" w:rsidRPr="00826437" w:rsidRDefault="001F6DE8" w:rsidP="00646143">
      <w:pPr>
        <w:pStyle w:val="Corpsdetexte"/>
        <w:tabs>
          <w:tab w:val="right" w:pos="7088"/>
        </w:tabs>
        <w:spacing w:before="100" w:beforeAutospacing="1" w:after="100" w:afterAutospacing="1"/>
        <w:ind w:left="567"/>
        <w:contextualSpacing/>
        <w:rPr>
          <w:rFonts w:asciiTheme="minorHAnsi" w:hAnsiTheme="minorHAnsi" w:cstheme="minorHAnsi"/>
          <w:i/>
          <w:iCs/>
          <w:sz w:val="22"/>
          <w:szCs w:val="22"/>
        </w:rPr>
      </w:pPr>
    </w:p>
    <w:p w14:paraId="6FF6F9C0" w14:textId="71E50F30" w:rsidR="001F6DE8" w:rsidRPr="00826437" w:rsidRDefault="001F6DE8" w:rsidP="00646143">
      <w:pPr>
        <w:pStyle w:val="Corpsdetexte"/>
        <w:tabs>
          <w:tab w:val="right" w:pos="7088"/>
        </w:tabs>
        <w:spacing w:before="100" w:beforeAutospacing="1" w:after="100" w:afterAutospacing="1"/>
        <w:ind w:left="567"/>
        <w:contextualSpacing/>
        <w:rPr>
          <w:rFonts w:asciiTheme="minorHAnsi" w:hAnsiTheme="minorHAnsi" w:cstheme="minorHAnsi"/>
          <w:i/>
          <w:iCs/>
          <w:sz w:val="22"/>
          <w:szCs w:val="22"/>
        </w:rPr>
      </w:pPr>
      <w:r w:rsidRPr="00826437">
        <w:rPr>
          <w:rFonts w:asciiTheme="minorHAnsi" w:hAnsiTheme="minorHAnsi" w:cstheme="minorHAnsi"/>
          <w:i/>
          <w:iCs/>
          <w:sz w:val="22"/>
          <w:szCs w:val="22"/>
        </w:rPr>
        <w:t>§2. Les dommages et intérêts visés au §1er, sont fixés comme suit:</w:t>
      </w:r>
    </w:p>
    <w:p w14:paraId="2FD0D19E" w14:textId="2FEDF68B" w:rsidR="001F6DE8" w:rsidRPr="00826437" w:rsidRDefault="001F6DE8" w:rsidP="00646143">
      <w:pPr>
        <w:pStyle w:val="Corpsdetexte"/>
        <w:tabs>
          <w:tab w:val="right" w:pos="7088"/>
        </w:tabs>
        <w:spacing w:before="100" w:beforeAutospacing="1" w:after="100" w:afterAutospacing="1"/>
        <w:ind w:left="567" w:firstLine="142"/>
        <w:contextualSpacing/>
        <w:rPr>
          <w:rFonts w:asciiTheme="minorHAnsi" w:hAnsiTheme="minorHAnsi" w:cstheme="minorHAnsi"/>
          <w:i/>
          <w:iCs/>
          <w:sz w:val="22"/>
          <w:szCs w:val="22"/>
        </w:rPr>
      </w:pPr>
      <w:r w:rsidRPr="00826437">
        <w:rPr>
          <w:rFonts w:asciiTheme="minorHAnsi" w:hAnsiTheme="minorHAnsi" w:cstheme="minorHAnsi"/>
          <w:i/>
          <w:iCs/>
          <w:sz w:val="22"/>
          <w:szCs w:val="22"/>
        </w:rPr>
        <w:t xml:space="preserve">1° hors l'hypothèse visée ci-après, l'indemnisation du </w:t>
      </w:r>
      <w:r w:rsidRPr="00B7354E">
        <w:rPr>
          <w:rFonts w:asciiTheme="minorHAnsi" w:hAnsiTheme="minorHAnsi" w:cstheme="minorHAnsi"/>
          <w:b/>
          <w:bCs/>
          <w:i/>
          <w:iCs/>
          <w:sz w:val="22"/>
          <w:szCs w:val="22"/>
        </w:rPr>
        <w:t>préjudice moral</w:t>
      </w:r>
      <w:r w:rsidRPr="00826437">
        <w:rPr>
          <w:rFonts w:asciiTheme="minorHAnsi" w:hAnsiTheme="minorHAnsi" w:cstheme="minorHAnsi"/>
          <w:i/>
          <w:iCs/>
          <w:sz w:val="22"/>
          <w:szCs w:val="22"/>
        </w:rPr>
        <w:t xml:space="preserve"> subi du fait d'une discrimination est fixé à un montant </w:t>
      </w:r>
      <w:r w:rsidRPr="00B7354E">
        <w:rPr>
          <w:rFonts w:asciiTheme="minorHAnsi" w:hAnsiTheme="minorHAnsi" w:cstheme="minorHAnsi"/>
          <w:b/>
          <w:bCs/>
          <w:i/>
          <w:iCs/>
          <w:sz w:val="22"/>
          <w:szCs w:val="22"/>
        </w:rPr>
        <w:t>minimum de 650 euros</w:t>
      </w:r>
      <w:r w:rsidRPr="00826437">
        <w:rPr>
          <w:rFonts w:asciiTheme="minorHAnsi" w:hAnsiTheme="minorHAnsi" w:cstheme="minorHAnsi"/>
          <w:i/>
          <w:iCs/>
          <w:sz w:val="22"/>
          <w:szCs w:val="22"/>
        </w:rPr>
        <w:t xml:space="preserve">; ce montant est </w:t>
      </w:r>
      <w:r w:rsidRPr="00B7354E">
        <w:rPr>
          <w:rFonts w:asciiTheme="minorHAnsi" w:hAnsiTheme="minorHAnsi" w:cstheme="minorHAnsi"/>
          <w:b/>
          <w:bCs/>
          <w:i/>
          <w:iCs/>
          <w:sz w:val="22"/>
          <w:szCs w:val="22"/>
        </w:rPr>
        <w:t>porté à 1.300 euros dans le cas où le contrevenant ne peut démontrer que le traitement litigieux défavorable ou désavantageux aurait également été adopté en l'absence de discrimination</w:t>
      </w:r>
      <w:r w:rsidRPr="00826437">
        <w:rPr>
          <w:rFonts w:asciiTheme="minorHAnsi" w:hAnsiTheme="minorHAnsi" w:cstheme="minorHAnsi"/>
          <w:i/>
          <w:iCs/>
          <w:sz w:val="22"/>
          <w:szCs w:val="22"/>
        </w:rPr>
        <w:t xml:space="preserve"> ou en raison d'autres circonstances;</w:t>
      </w:r>
    </w:p>
    <w:p w14:paraId="3924EB9E" w14:textId="79065F1B" w:rsidR="00911597" w:rsidRPr="006E3CAB" w:rsidRDefault="001F6DE8" w:rsidP="00646143">
      <w:pPr>
        <w:pStyle w:val="Corpsdetexte"/>
        <w:tabs>
          <w:tab w:val="right" w:pos="7088"/>
        </w:tabs>
        <w:spacing w:before="100" w:beforeAutospacing="1" w:after="100" w:afterAutospacing="1"/>
        <w:ind w:left="567" w:firstLine="142"/>
        <w:contextualSpacing/>
        <w:rPr>
          <w:rFonts w:asciiTheme="minorHAnsi" w:hAnsiTheme="minorHAnsi" w:cstheme="minorHAnsi"/>
          <w:bCs/>
          <w:i/>
          <w:color w:val="000000"/>
          <w:sz w:val="22"/>
          <w:szCs w:val="22"/>
        </w:rPr>
      </w:pPr>
      <w:r w:rsidRPr="00826437">
        <w:rPr>
          <w:rFonts w:asciiTheme="minorHAnsi" w:hAnsiTheme="minorHAnsi" w:cstheme="minorHAnsi"/>
          <w:i/>
          <w:iCs/>
          <w:sz w:val="22"/>
          <w:szCs w:val="22"/>
        </w:rPr>
        <w:t xml:space="preserve">2° si la victime réclame </w:t>
      </w:r>
      <w:r w:rsidRPr="00826437">
        <w:rPr>
          <w:rFonts w:asciiTheme="minorHAnsi" w:hAnsiTheme="minorHAnsi" w:cstheme="minorHAnsi"/>
          <w:b/>
          <w:bCs/>
          <w:i/>
          <w:iCs/>
          <w:sz w:val="22"/>
          <w:szCs w:val="22"/>
        </w:rPr>
        <w:t>l'indemnisation du préjudice moral et matériel</w:t>
      </w:r>
      <w:r w:rsidRPr="00826437">
        <w:rPr>
          <w:rFonts w:asciiTheme="minorHAnsi" w:hAnsiTheme="minorHAnsi" w:cstheme="minorHAnsi"/>
          <w:i/>
          <w:iCs/>
          <w:sz w:val="22"/>
          <w:szCs w:val="22"/>
        </w:rPr>
        <w:t xml:space="preserve"> qu'elle a subi du fait d'une discrimination dans le cadre des relations de travail, </w:t>
      </w:r>
      <w:r w:rsidRPr="00826437">
        <w:rPr>
          <w:rFonts w:asciiTheme="minorHAnsi" w:hAnsiTheme="minorHAnsi" w:cstheme="minorHAnsi"/>
          <w:b/>
          <w:bCs/>
          <w:i/>
          <w:iCs/>
          <w:sz w:val="22"/>
          <w:szCs w:val="22"/>
        </w:rPr>
        <w:t>l'indemnisation forfaitaire</w:t>
      </w:r>
      <w:r w:rsidRPr="00826437">
        <w:rPr>
          <w:rFonts w:asciiTheme="minorHAnsi" w:hAnsiTheme="minorHAnsi" w:cstheme="minorHAnsi"/>
          <w:i/>
          <w:iCs/>
          <w:sz w:val="22"/>
          <w:szCs w:val="22"/>
        </w:rPr>
        <w:t xml:space="preserve"> pour le dommage matériel et moral </w:t>
      </w:r>
      <w:r w:rsidRPr="00826437">
        <w:rPr>
          <w:rFonts w:asciiTheme="minorHAnsi" w:hAnsiTheme="minorHAnsi" w:cstheme="minorHAnsi"/>
          <w:b/>
          <w:bCs/>
          <w:i/>
          <w:iCs/>
          <w:sz w:val="22"/>
          <w:szCs w:val="22"/>
        </w:rPr>
        <w:t>équivaut à six mois de rémunération brute</w:t>
      </w:r>
      <w:r w:rsidRPr="00826437">
        <w:rPr>
          <w:rFonts w:asciiTheme="minorHAnsi" w:hAnsiTheme="minorHAnsi" w:cstheme="minorHAnsi"/>
          <w:i/>
          <w:iCs/>
          <w:sz w:val="22"/>
          <w:szCs w:val="22"/>
        </w:rPr>
        <w:t>, à moins que l'employeur ne démontre que le traitement litigieux défavorable ou désavantageux aurait également été adopté en l'absence de discrimination; dans cette dernière hypothèse, l'indemnisation pour le préjudice matériel et moral est limitée à trois mois de rémunération brute; si le préjudice matériel résultant d'une discrimination dans le cadre des relations de travail peut néanmoins être réparé par le biais de l'application de la sanction de nullité prévue à l'article  17 , les dommages et intérêts sont fixés selon les dispositions du point 1°.</w:t>
      </w:r>
      <w:r w:rsidR="00911597" w:rsidRPr="006E3CAB">
        <w:rPr>
          <w:rFonts w:asciiTheme="minorHAnsi" w:hAnsiTheme="minorHAnsi" w:cstheme="minorHAnsi"/>
          <w:bCs/>
          <w:i/>
          <w:color w:val="000000"/>
          <w:sz w:val="22"/>
          <w:szCs w:val="22"/>
        </w:rPr>
        <w:t> ».</w:t>
      </w:r>
    </w:p>
    <w:p w14:paraId="586FD5AD" w14:textId="5717F807" w:rsidR="005C35C8" w:rsidRPr="006E3CAB" w:rsidRDefault="005C35C8" w:rsidP="00D368C9">
      <w:pPr>
        <w:pStyle w:val="Corpsdetexte"/>
        <w:tabs>
          <w:tab w:val="right" w:pos="7088"/>
        </w:tabs>
        <w:spacing w:before="100" w:beforeAutospacing="1" w:after="100" w:afterAutospacing="1"/>
        <w:contextualSpacing/>
        <w:rPr>
          <w:rFonts w:asciiTheme="minorHAnsi" w:hAnsiTheme="minorHAnsi" w:cstheme="minorHAnsi"/>
          <w:bCs/>
          <w:sz w:val="22"/>
          <w:szCs w:val="22"/>
        </w:rPr>
      </w:pPr>
    </w:p>
    <w:p w14:paraId="5E1388BE" w14:textId="268F3265" w:rsidR="00646143" w:rsidRPr="008C0839" w:rsidRDefault="00646143" w:rsidP="00646143">
      <w:pPr>
        <w:pStyle w:val="Corpsdetexte"/>
        <w:tabs>
          <w:tab w:val="right" w:pos="7088"/>
        </w:tabs>
        <w:rPr>
          <w:rFonts w:ascii="Calibri" w:hAnsi="Calibri" w:cs="Calibri"/>
          <w:bCs/>
          <w:sz w:val="22"/>
          <w:szCs w:val="22"/>
        </w:rPr>
      </w:pPr>
      <w:r w:rsidRPr="008C0839">
        <w:rPr>
          <w:rFonts w:asciiTheme="minorHAnsi" w:hAnsiTheme="minorHAnsi" w:cstheme="minorHAnsi"/>
          <w:bCs/>
          <w:sz w:val="22"/>
          <w:szCs w:val="22"/>
        </w:rPr>
        <w:t>Sur base de cet article 18</w:t>
      </w:r>
      <w:r>
        <w:rPr>
          <w:rFonts w:asciiTheme="minorHAnsi" w:hAnsiTheme="minorHAnsi" w:cstheme="minorHAnsi"/>
          <w:bCs/>
          <w:sz w:val="22"/>
          <w:szCs w:val="22"/>
        </w:rPr>
        <w:t xml:space="preserve"> (lire article 19 du décret)</w:t>
      </w:r>
      <w:r w:rsidRPr="008C0839">
        <w:rPr>
          <w:rFonts w:asciiTheme="minorHAnsi" w:hAnsiTheme="minorHAnsi" w:cstheme="minorHAnsi"/>
          <w:bCs/>
          <w:sz w:val="22"/>
          <w:szCs w:val="22"/>
        </w:rPr>
        <w:t xml:space="preserve">, Monsieur </w:t>
      </w:r>
      <w:r w:rsidR="00AC7907">
        <w:rPr>
          <w:rFonts w:asciiTheme="minorHAnsi" w:hAnsiTheme="minorHAnsi" w:cstheme="minorHAnsi"/>
          <w:bCs/>
          <w:sz w:val="22"/>
          <w:szCs w:val="22"/>
        </w:rPr>
        <w:t>P</w:t>
      </w:r>
      <w:r w:rsidRPr="008C0839">
        <w:rPr>
          <w:rFonts w:asciiTheme="minorHAnsi" w:hAnsiTheme="minorHAnsi" w:cstheme="minorHAnsi"/>
          <w:bCs/>
          <w:sz w:val="22"/>
          <w:szCs w:val="22"/>
        </w:rPr>
        <w:t xml:space="preserve"> réclame</w:t>
      </w:r>
      <w:r w:rsidR="0001400F">
        <w:rPr>
          <w:rFonts w:asciiTheme="minorHAnsi" w:hAnsiTheme="minorHAnsi" w:cstheme="minorHAnsi"/>
          <w:bCs/>
          <w:sz w:val="22"/>
          <w:szCs w:val="22"/>
        </w:rPr>
        <w:t xml:space="preserve"> </w:t>
      </w:r>
      <w:r w:rsidR="0001400F">
        <w:rPr>
          <w:rFonts w:ascii="Calibri" w:hAnsi="Calibri" w:cs="Calibri"/>
          <w:bCs/>
          <w:sz w:val="22"/>
          <w:szCs w:val="22"/>
        </w:rPr>
        <w:t xml:space="preserve">à tout le moins </w:t>
      </w:r>
      <w:r w:rsidRPr="008C0839">
        <w:rPr>
          <w:rFonts w:ascii="Calibri" w:hAnsi="Calibri" w:cs="Calibri"/>
          <w:bCs/>
          <w:sz w:val="22"/>
          <w:szCs w:val="22"/>
        </w:rPr>
        <w:t>l'indemnisation du préjudice moral qu’il a subi du fait d'une discrimination dans le cadre des relations de travail, et précise que l’indemnisation correspond à la somme de 6 mois de rémunération brute, qu’il chiffre à 21.615,93 €</w:t>
      </w:r>
      <w:r w:rsidR="0001400F">
        <w:rPr>
          <w:rFonts w:ascii="Calibri" w:hAnsi="Calibri" w:cs="Calibri"/>
          <w:bCs/>
          <w:sz w:val="22"/>
          <w:szCs w:val="22"/>
        </w:rPr>
        <w:t xml:space="preserve">, sans exclure </w:t>
      </w:r>
      <w:r w:rsidR="00E445F9">
        <w:rPr>
          <w:rFonts w:ascii="Calibri" w:hAnsi="Calibri" w:cs="Calibri"/>
          <w:bCs/>
          <w:sz w:val="22"/>
          <w:szCs w:val="22"/>
        </w:rPr>
        <w:t>la réparation d’un préjudice matériel</w:t>
      </w:r>
      <w:r w:rsidRPr="008C0839">
        <w:rPr>
          <w:rFonts w:ascii="Calibri" w:hAnsi="Calibri" w:cs="Calibri"/>
          <w:bCs/>
          <w:sz w:val="22"/>
          <w:szCs w:val="22"/>
        </w:rPr>
        <w:t>.</w:t>
      </w:r>
    </w:p>
    <w:p w14:paraId="2E71C355" w14:textId="77777777" w:rsidR="00646143" w:rsidRPr="008C0839" w:rsidRDefault="00646143" w:rsidP="00646143">
      <w:pPr>
        <w:pStyle w:val="Corpsdetexte"/>
        <w:tabs>
          <w:tab w:val="right" w:pos="7088"/>
        </w:tabs>
        <w:rPr>
          <w:rFonts w:ascii="Calibri" w:hAnsi="Calibri" w:cs="Calibri"/>
          <w:bCs/>
          <w:sz w:val="22"/>
          <w:szCs w:val="22"/>
        </w:rPr>
      </w:pPr>
    </w:p>
    <w:p w14:paraId="5D5F5357" w14:textId="57168170" w:rsidR="00646143" w:rsidRDefault="00646143" w:rsidP="00646143">
      <w:pPr>
        <w:pStyle w:val="Corpsdetexte"/>
        <w:tabs>
          <w:tab w:val="right" w:pos="7088"/>
        </w:tabs>
        <w:rPr>
          <w:rFonts w:ascii="Calibri" w:hAnsi="Calibri" w:cs="Calibri"/>
          <w:bCs/>
          <w:sz w:val="22"/>
          <w:szCs w:val="22"/>
        </w:rPr>
      </w:pPr>
      <w:r w:rsidRPr="008C0839">
        <w:rPr>
          <w:rFonts w:ascii="Calibri" w:hAnsi="Calibri" w:cs="Calibri"/>
          <w:bCs/>
          <w:sz w:val="22"/>
          <w:szCs w:val="22"/>
        </w:rPr>
        <w:t xml:space="preserve">Il précise qu’il sollicite une indemnisation </w:t>
      </w:r>
      <w:r w:rsidRPr="00251D80">
        <w:rPr>
          <w:rFonts w:ascii="Calibri" w:hAnsi="Calibri" w:cs="Calibri"/>
          <w:bCs/>
          <w:sz w:val="22"/>
          <w:szCs w:val="22"/>
          <w:u w:val="single"/>
        </w:rPr>
        <w:t>forfaitaire</w:t>
      </w:r>
      <w:r w:rsidRPr="008C0839">
        <w:rPr>
          <w:rFonts w:ascii="Calibri" w:hAnsi="Calibri" w:cs="Calibri"/>
          <w:bCs/>
          <w:sz w:val="22"/>
          <w:szCs w:val="22"/>
        </w:rPr>
        <w:t xml:space="preserve"> de son dommage, n’étant nullement tenu d’établir l’étendue de celui-ci</w:t>
      </w:r>
      <w:r>
        <w:rPr>
          <w:rFonts w:ascii="Calibri" w:hAnsi="Calibri" w:cs="Calibri"/>
          <w:bCs/>
          <w:sz w:val="22"/>
          <w:szCs w:val="22"/>
        </w:rPr>
        <w:t xml:space="preserve"> (</w:t>
      </w:r>
      <w:r w:rsidRPr="008C0839">
        <w:rPr>
          <w:rFonts w:ascii="Calibri" w:hAnsi="Calibri" w:cs="Calibri"/>
          <w:bCs/>
          <w:sz w:val="22"/>
          <w:szCs w:val="22"/>
        </w:rPr>
        <w:t xml:space="preserve">le principe </w:t>
      </w:r>
      <w:r>
        <w:rPr>
          <w:rFonts w:ascii="Calibri" w:hAnsi="Calibri" w:cs="Calibri"/>
          <w:bCs/>
          <w:sz w:val="22"/>
          <w:szCs w:val="22"/>
        </w:rPr>
        <w:t>étant celui d’une</w:t>
      </w:r>
      <w:r w:rsidRPr="008C0839">
        <w:rPr>
          <w:rFonts w:ascii="Calibri" w:hAnsi="Calibri" w:cs="Calibri"/>
          <w:bCs/>
          <w:sz w:val="22"/>
          <w:szCs w:val="22"/>
        </w:rPr>
        <w:t xml:space="preserve"> réparation intégrale du dommage, en droit de la responsabilité</w:t>
      </w:r>
      <w:r>
        <w:rPr>
          <w:rFonts w:ascii="Calibri" w:hAnsi="Calibri" w:cs="Calibri"/>
          <w:bCs/>
          <w:sz w:val="22"/>
          <w:szCs w:val="22"/>
        </w:rPr>
        <w:t>)</w:t>
      </w:r>
      <w:r w:rsidRPr="008C0839">
        <w:rPr>
          <w:rFonts w:ascii="Calibri" w:hAnsi="Calibri" w:cs="Calibri"/>
          <w:bCs/>
          <w:sz w:val="22"/>
          <w:szCs w:val="22"/>
        </w:rPr>
        <w:t>.</w:t>
      </w:r>
    </w:p>
    <w:p w14:paraId="2D0D2B0A" w14:textId="77777777" w:rsidR="00646143" w:rsidRDefault="00646143" w:rsidP="00646143">
      <w:pPr>
        <w:pStyle w:val="Corpsdetexte"/>
        <w:tabs>
          <w:tab w:val="right" w:pos="7088"/>
        </w:tabs>
        <w:rPr>
          <w:rFonts w:ascii="Calibri" w:hAnsi="Calibri" w:cs="Calibri"/>
          <w:bCs/>
          <w:sz w:val="22"/>
          <w:szCs w:val="22"/>
        </w:rPr>
      </w:pPr>
    </w:p>
    <w:p w14:paraId="6D38F0D4" w14:textId="08F15255" w:rsidR="00646143" w:rsidRDefault="00646143" w:rsidP="00646143">
      <w:pPr>
        <w:pStyle w:val="Corpsdetexte"/>
        <w:tabs>
          <w:tab w:val="right" w:pos="7088"/>
        </w:tabs>
        <w:rPr>
          <w:rFonts w:ascii="Calibri" w:hAnsi="Calibri" w:cs="Calibri"/>
          <w:bCs/>
          <w:sz w:val="22"/>
          <w:szCs w:val="22"/>
        </w:rPr>
      </w:pPr>
      <w:r>
        <w:rPr>
          <w:rFonts w:ascii="Calibri" w:hAnsi="Calibri" w:cs="Calibri"/>
          <w:bCs/>
          <w:sz w:val="22"/>
          <w:szCs w:val="22"/>
        </w:rPr>
        <w:t>Subsidiairement, l’OTW estime que cette indemnisation doit être limitée à 3 mois, au motif qu’il aurait refusé l’octroi ou la prolongation d’un mi-temps à n’importe quel chauffeur, quel que soit le fondement de sa demande, et que</w:t>
      </w:r>
      <w:r w:rsidR="0078423B">
        <w:rPr>
          <w:rFonts w:ascii="Calibri" w:hAnsi="Calibri" w:cs="Calibri"/>
          <w:bCs/>
          <w:sz w:val="22"/>
          <w:szCs w:val="22"/>
        </w:rPr>
        <w:t xml:space="preserve"> le</w:t>
      </w:r>
      <w:r>
        <w:rPr>
          <w:rFonts w:ascii="Calibri" w:hAnsi="Calibri" w:cs="Calibri"/>
          <w:bCs/>
          <w:sz w:val="22"/>
          <w:szCs w:val="22"/>
        </w:rPr>
        <w:t xml:space="preserve"> traitement défavorable aurait donc été adopté même en l’absence de discrimination.</w:t>
      </w:r>
    </w:p>
    <w:p w14:paraId="3C7BD8D2" w14:textId="77777777" w:rsidR="00646143" w:rsidRDefault="00646143" w:rsidP="00646143">
      <w:pPr>
        <w:pStyle w:val="Corpsdetexte"/>
        <w:tabs>
          <w:tab w:val="right" w:pos="7088"/>
        </w:tabs>
        <w:rPr>
          <w:rFonts w:ascii="Calibri" w:hAnsi="Calibri" w:cs="Calibri"/>
          <w:bCs/>
          <w:sz w:val="22"/>
          <w:szCs w:val="22"/>
        </w:rPr>
      </w:pPr>
    </w:p>
    <w:p w14:paraId="7639C807" w14:textId="77777777" w:rsidR="00646143" w:rsidRPr="006715B9" w:rsidRDefault="00646143" w:rsidP="00646143">
      <w:pPr>
        <w:pStyle w:val="Corpsdetexte"/>
        <w:tabs>
          <w:tab w:val="right" w:pos="7088"/>
        </w:tabs>
        <w:rPr>
          <w:rFonts w:ascii="Calibri" w:hAnsi="Calibri" w:cs="Calibri"/>
          <w:i/>
          <w:sz w:val="22"/>
          <w:szCs w:val="22"/>
        </w:rPr>
      </w:pPr>
      <w:r w:rsidRPr="006715B9">
        <w:rPr>
          <w:rFonts w:ascii="Calibri" w:hAnsi="Calibri" w:cs="Calibri"/>
          <w:sz w:val="22"/>
          <w:szCs w:val="22"/>
        </w:rPr>
        <w:t xml:space="preserve">La Cour de cassation a jugé que </w:t>
      </w:r>
      <w:r w:rsidRPr="006715B9">
        <w:rPr>
          <w:rFonts w:ascii="Calibri" w:hAnsi="Calibri" w:cs="Calibri"/>
          <w:i/>
          <w:sz w:val="22"/>
          <w:szCs w:val="22"/>
        </w:rPr>
        <w:t>« Lorsque la victime d’une discrimination établie dans le cadre des relations de travail ou des régimes complémentaires de sécurité sociale réclame un montant forfaitaire au titre de réparation du préjudice matériel et moral subi et que l’employeur démontre que le traitement litigieux défavorable ou désavantageux aurait également été adopté en l’absence de discrimination, elle a droit à une indemnisation de trois mois de rémunération brute. La sanction de l’article 15 (nullité) ne s’applique pas s’agissant de déterminer le préjudice matériel dans une telle hypothèse »</w:t>
      </w:r>
      <w:r w:rsidRPr="006715B9">
        <w:rPr>
          <w:rStyle w:val="Appelnotedebasdep"/>
          <w:rFonts w:ascii="Calibri" w:hAnsi="Calibri" w:cs="Calibri"/>
          <w:i/>
          <w:sz w:val="22"/>
          <w:szCs w:val="22"/>
        </w:rPr>
        <w:footnoteReference w:id="18"/>
      </w:r>
      <w:r w:rsidRPr="006715B9">
        <w:rPr>
          <w:rFonts w:ascii="Calibri" w:hAnsi="Calibri" w:cs="Calibri"/>
          <w:i/>
          <w:sz w:val="22"/>
          <w:szCs w:val="22"/>
        </w:rPr>
        <w:t>.</w:t>
      </w:r>
    </w:p>
    <w:p w14:paraId="21BBA949" w14:textId="67B00537" w:rsidR="00646143" w:rsidRDefault="00646143" w:rsidP="00646143">
      <w:pPr>
        <w:pStyle w:val="Corpsdetexte"/>
        <w:tabs>
          <w:tab w:val="right" w:pos="7088"/>
        </w:tabs>
        <w:rPr>
          <w:rFonts w:ascii="Calibri" w:hAnsi="Calibri" w:cs="Calibri"/>
          <w:bCs/>
          <w:sz w:val="22"/>
          <w:szCs w:val="22"/>
        </w:rPr>
      </w:pPr>
      <w:r w:rsidRPr="00911597">
        <w:rPr>
          <w:rFonts w:ascii="Calibri" w:hAnsi="Calibri" w:cs="Calibri"/>
          <w:bCs/>
          <w:i/>
          <w:sz w:val="22"/>
          <w:szCs w:val="22"/>
          <w:highlight w:val="cyan"/>
        </w:rPr>
        <w:br/>
      </w:r>
      <w:r>
        <w:rPr>
          <w:rFonts w:ascii="Calibri" w:hAnsi="Calibri" w:cs="Calibri"/>
          <w:bCs/>
          <w:sz w:val="22"/>
          <w:szCs w:val="22"/>
        </w:rPr>
        <w:t xml:space="preserve">Monsieur </w:t>
      </w:r>
      <w:r w:rsidR="00AC7907">
        <w:rPr>
          <w:rFonts w:ascii="Calibri" w:hAnsi="Calibri" w:cs="Calibri"/>
          <w:bCs/>
          <w:sz w:val="22"/>
          <w:szCs w:val="22"/>
        </w:rPr>
        <w:t>P</w:t>
      </w:r>
      <w:r>
        <w:rPr>
          <w:rFonts w:ascii="Calibri" w:hAnsi="Calibri" w:cs="Calibri"/>
          <w:bCs/>
          <w:sz w:val="22"/>
          <w:szCs w:val="22"/>
        </w:rPr>
        <w:t xml:space="preserve"> n’avance pas avoir subi de dommage matériel </w:t>
      </w:r>
      <w:r w:rsidR="00C851BF">
        <w:rPr>
          <w:rFonts w:ascii="Calibri" w:hAnsi="Calibri" w:cs="Calibri"/>
          <w:bCs/>
          <w:sz w:val="22"/>
          <w:szCs w:val="22"/>
        </w:rPr>
        <w:t>particu</w:t>
      </w:r>
      <w:r w:rsidR="00D16ACC">
        <w:rPr>
          <w:rFonts w:ascii="Calibri" w:hAnsi="Calibri" w:cs="Calibri"/>
          <w:bCs/>
          <w:sz w:val="22"/>
          <w:szCs w:val="22"/>
        </w:rPr>
        <w:t>lie</w:t>
      </w:r>
      <w:r w:rsidR="00C851BF">
        <w:rPr>
          <w:rFonts w:ascii="Calibri" w:hAnsi="Calibri" w:cs="Calibri"/>
          <w:bCs/>
          <w:sz w:val="22"/>
          <w:szCs w:val="22"/>
        </w:rPr>
        <w:t xml:space="preserve">r </w:t>
      </w:r>
      <w:r>
        <w:rPr>
          <w:rFonts w:ascii="Calibri" w:hAnsi="Calibri" w:cs="Calibri"/>
          <w:bCs/>
          <w:sz w:val="22"/>
          <w:szCs w:val="22"/>
        </w:rPr>
        <w:t>(il a continué à recevoir sa rémunération lui payée par l’assureur-loi</w:t>
      </w:r>
      <w:r w:rsidR="00E445F9">
        <w:rPr>
          <w:rFonts w:ascii="Calibri" w:hAnsi="Calibri" w:cs="Calibri"/>
          <w:bCs/>
          <w:sz w:val="22"/>
          <w:szCs w:val="22"/>
        </w:rPr>
        <w:t xml:space="preserve">, et sa rémunération annuelle </w:t>
      </w:r>
      <w:r w:rsidR="004E11CF">
        <w:rPr>
          <w:rFonts w:ascii="Calibri" w:hAnsi="Calibri" w:cs="Calibri"/>
          <w:bCs/>
          <w:sz w:val="22"/>
          <w:szCs w:val="22"/>
        </w:rPr>
        <w:t xml:space="preserve">(43.231, </w:t>
      </w:r>
      <w:r w:rsidR="004E1D51">
        <w:rPr>
          <w:rFonts w:ascii="Calibri" w:hAnsi="Calibri" w:cs="Calibri"/>
          <w:bCs/>
          <w:sz w:val="22"/>
          <w:szCs w:val="22"/>
        </w:rPr>
        <w:t xml:space="preserve">86 €) </w:t>
      </w:r>
      <w:r w:rsidR="00E445F9">
        <w:rPr>
          <w:rFonts w:ascii="Calibri" w:hAnsi="Calibri" w:cs="Calibri"/>
          <w:bCs/>
          <w:sz w:val="22"/>
          <w:szCs w:val="22"/>
        </w:rPr>
        <w:t xml:space="preserve">semble inférieure au salaire de base </w:t>
      </w:r>
      <w:r w:rsidR="004E1D51">
        <w:rPr>
          <w:rFonts w:ascii="Calibri" w:hAnsi="Calibri" w:cs="Calibri"/>
          <w:bCs/>
          <w:sz w:val="22"/>
          <w:szCs w:val="22"/>
        </w:rPr>
        <w:t>tel que fixé par</w:t>
      </w:r>
      <w:r w:rsidR="00E445F9">
        <w:rPr>
          <w:rFonts w:ascii="Calibri" w:hAnsi="Calibri" w:cs="Calibri"/>
          <w:bCs/>
          <w:sz w:val="22"/>
          <w:szCs w:val="22"/>
        </w:rPr>
        <w:t xml:space="preserve"> la législation relative aux accidents du travail</w:t>
      </w:r>
      <w:r>
        <w:rPr>
          <w:rFonts w:ascii="Calibri" w:hAnsi="Calibri" w:cs="Calibri"/>
          <w:bCs/>
          <w:sz w:val="22"/>
          <w:szCs w:val="22"/>
        </w:rPr>
        <w:t xml:space="preserve">), </w:t>
      </w:r>
      <w:r w:rsidR="00E445F9">
        <w:rPr>
          <w:rFonts w:ascii="Calibri" w:hAnsi="Calibri" w:cs="Calibri"/>
          <w:bCs/>
          <w:sz w:val="22"/>
          <w:szCs w:val="22"/>
        </w:rPr>
        <w:t>et</w:t>
      </w:r>
      <w:r>
        <w:rPr>
          <w:rFonts w:ascii="Calibri" w:hAnsi="Calibri" w:cs="Calibri"/>
          <w:bCs/>
          <w:sz w:val="22"/>
          <w:szCs w:val="22"/>
        </w:rPr>
        <w:t xml:space="preserve"> invoque </w:t>
      </w:r>
      <w:r w:rsidR="00C851BF">
        <w:rPr>
          <w:rFonts w:ascii="Calibri" w:hAnsi="Calibri" w:cs="Calibri"/>
          <w:bCs/>
          <w:sz w:val="22"/>
          <w:szCs w:val="22"/>
        </w:rPr>
        <w:t xml:space="preserve">surtout </w:t>
      </w:r>
      <w:r>
        <w:rPr>
          <w:rFonts w:ascii="Calibri" w:hAnsi="Calibri" w:cs="Calibri"/>
          <w:bCs/>
          <w:sz w:val="22"/>
          <w:szCs w:val="22"/>
        </w:rPr>
        <w:t>un dommage moral, sans développer davantage.</w:t>
      </w:r>
    </w:p>
    <w:p w14:paraId="57669DA9" w14:textId="77777777" w:rsidR="00593AF9" w:rsidRDefault="00593AF9" w:rsidP="00646143">
      <w:pPr>
        <w:pStyle w:val="Corpsdetexte"/>
        <w:tabs>
          <w:tab w:val="right" w:pos="7088"/>
        </w:tabs>
        <w:rPr>
          <w:rFonts w:ascii="Calibri" w:hAnsi="Calibri" w:cs="Calibri"/>
          <w:bCs/>
          <w:sz w:val="22"/>
          <w:szCs w:val="22"/>
        </w:rPr>
      </w:pPr>
    </w:p>
    <w:p w14:paraId="2B553CD8" w14:textId="56B6E0C6" w:rsidR="00593AF9" w:rsidRPr="00593AF9" w:rsidRDefault="00593AF9" w:rsidP="00646143">
      <w:pPr>
        <w:pStyle w:val="Corpsdetexte"/>
        <w:tabs>
          <w:tab w:val="right" w:pos="7088"/>
        </w:tabs>
        <w:rPr>
          <w:rFonts w:ascii="Calibri" w:hAnsi="Calibri" w:cs="Calibri"/>
          <w:bCs/>
          <w:sz w:val="22"/>
          <w:szCs w:val="22"/>
        </w:rPr>
      </w:pPr>
      <w:r w:rsidRPr="00593AF9">
        <w:rPr>
          <w:rFonts w:ascii="Calibri" w:hAnsi="Calibri" w:cs="Calibri"/>
          <w:bCs/>
          <w:sz w:val="22"/>
          <w:szCs w:val="22"/>
        </w:rPr>
        <w:t xml:space="preserve">Le tribunal estime que l’OTW démontre que </w:t>
      </w:r>
      <w:r w:rsidRPr="00593AF9">
        <w:rPr>
          <w:rFonts w:ascii="Calibri" w:hAnsi="Calibri" w:cs="Calibri"/>
          <w:sz w:val="22"/>
          <w:szCs w:val="22"/>
        </w:rPr>
        <w:t>le traitement litigieux défavorable ou désavantageux aurait également été adopté en l’absence de discrimination</w:t>
      </w:r>
      <w:r>
        <w:rPr>
          <w:rFonts w:ascii="Calibri" w:hAnsi="Calibri" w:cs="Calibri"/>
          <w:sz w:val="22"/>
          <w:szCs w:val="22"/>
        </w:rPr>
        <w:t>.</w:t>
      </w:r>
    </w:p>
    <w:p w14:paraId="375A08FF" w14:textId="77777777" w:rsidR="00646143" w:rsidRDefault="00646143" w:rsidP="00646143">
      <w:pPr>
        <w:pStyle w:val="Corpsdetexte"/>
        <w:tabs>
          <w:tab w:val="right" w:pos="7088"/>
        </w:tabs>
        <w:rPr>
          <w:rFonts w:ascii="Calibri" w:hAnsi="Calibri" w:cs="Calibri"/>
          <w:bCs/>
          <w:sz w:val="22"/>
          <w:szCs w:val="22"/>
        </w:rPr>
      </w:pPr>
    </w:p>
    <w:p w14:paraId="1417F050" w14:textId="77777777" w:rsidR="00646143" w:rsidRDefault="00646143" w:rsidP="00646143">
      <w:pPr>
        <w:pStyle w:val="Corpsdetexte"/>
        <w:tabs>
          <w:tab w:val="right" w:pos="7088"/>
        </w:tabs>
        <w:rPr>
          <w:rFonts w:ascii="Calibri" w:hAnsi="Calibri" w:cs="Calibri"/>
          <w:bCs/>
          <w:sz w:val="22"/>
          <w:szCs w:val="22"/>
        </w:rPr>
      </w:pPr>
      <w:r>
        <w:rPr>
          <w:rFonts w:ascii="Calibri" w:hAnsi="Calibri" w:cs="Calibri"/>
          <w:bCs/>
          <w:sz w:val="22"/>
          <w:szCs w:val="22"/>
        </w:rPr>
        <w:t>Dès lors, le tribunal estime justifié de limiter l’indemnité forfaitaire à l’équivalent de 3 mois de rémunération, et condamne l’OTW au paiement d’une indemnité de 10.807,96 € correspondant à 3 mois de rémunération brute à titre de dommages et intérêts, à majorer des intérêts.</w:t>
      </w:r>
    </w:p>
    <w:p w14:paraId="758BD84A" w14:textId="77777777" w:rsidR="006B1B01" w:rsidRPr="006E3CAB" w:rsidRDefault="006B1B01" w:rsidP="00D368C9">
      <w:pPr>
        <w:pStyle w:val="Corpsdetexte"/>
        <w:tabs>
          <w:tab w:val="right" w:pos="7088"/>
        </w:tabs>
        <w:spacing w:before="100" w:beforeAutospacing="1" w:after="100" w:afterAutospacing="1"/>
        <w:contextualSpacing/>
        <w:rPr>
          <w:rFonts w:asciiTheme="minorHAnsi" w:hAnsiTheme="minorHAnsi" w:cstheme="minorHAnsi"/>
          <w:bCs/>
          <w:sz w:val="22"/>
          <w:szCs w:val="22"/>
        </w:rPr>
      </w:pPr>
    </w:p>
    <w:p w14:paraId="3241B22F" w14:textId="2E0B28DC" w:rsidR="00911597" w:rsidRPr="00FE76FA" w:rsidRDefault="00E36CF3" w:rsidP="00830A65">
      <w:pPr>
        <w:pStyle w:val="Liste"/>
        <w:numPr>
          <w:ilvl w:val="0"/>
          <w:numId w:val="29"/>
        </w:numPr>
        <w:spacing w:before="100" w:beforeAutospacing="1" w:after="100" w:afterAutospacing="1"/>
        <w:contextualSpacing/>
        <w:jc w:val="both"/>
        <w:rPr>
          <w:rFonts w:asciiTheme="minorHAnsi" w:hAnsiTheme="minorHAnsi" w:cstheme="minorHAnsi"/>
          <w:bCs/>
          <w:sz w:val="22"/>
          <w:szCs w:val="22"/>
          <w:u w:val="single"/>
        </w:rPr>
      </w:pPr>
      <w:r w:rsidRPr="00FE76FA">
        <w:rPr>
          <w:rFonts w:asciiTheme="minorHAnsi" w:hAnsiTheme="minorHAnsi" w:cstheme="minorHAnsi"/>
          <w:bCs/>
          <w:sz w:val="22"/>
          <w:szCs w:val="22"/>
          <w:u w:val="single"/>
        </w:rPr>
        <w:t>Quant à la demande d’indemnisation de UNIA</w:t>
      </w:r>
    </w:p>
    <w:p w14:paraId="0FD4F743" w14:textId="77777777" w:rsidR="00E36CF3" w:rsidRPr="00F81EC5" w:rsidRDefault="00E36CF3" w:rsidP="00D368C9">
      <w:pPr>
        <w:pStyle w:val="Liste"/>
        <w:spacing w:before="100" w:beforeAutospacing="1" w:after="100" w:afterAutospacing="1"/>
        <w:ind w:left="0" w:firstLine="0"/>
        <w:contextualSpacing/>
        <w:jc w:val="both"/>
        <w:rPr>
          <w:rFonts w:asciiTheme="minorHAnsi" w:hAnsiTheme="minorHAnsi" w:cstheme="minorHAnsi"/>
          <w:b/>
          <w:sz w:val="22"/>
          <w:szCs w:val="22"/>
          <w:u w:val="single"/>
        </w:rPr>
      </w:pPr>
    </w:p>
    <w:p w14:paraId="45722B90" w14:textId="7D69495B" w:rsidR="00E36CF3" w:rsidRPr="00F81EC5" w:rsidRDefault="00417580"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F81EC5">
        <w:rPr>
          <w:rFonts w:asciiTheme="minorHAnsi" w:hAnsiTheme="minorHAnsi" w:cstheme="minorHAnsi"/>
          <w:bCs/>
          <w:sz w:val="22"/>
          <w:szCs w:val="22"/>
        </w:rPr>
        <w:t>L’article 1</w:t>
      </w:r>
      <w:r w:rsidR="00AA2F82">
        <w:rPr>
          <w:rFonts w:asciiTheme="minorHAnsi" w:hAnsiTheme="minorHAnsi" w:cstheme="minorHAnsi"/>
          <w:bCs/>
          <w:sz w:val="22"/>
          <w:szCs w:val="22"/>
        </w:rPr>
        <w:t>9</w:t>
      </w:r>
      <w:r w:rsidR="00B86EE6">
        <w:rPr>
          <w:rFonts w:asciiTheme="minorHAnsi" w:hAnsiTheme="minorHAnsi" w:cstheme="minorHAnsi"/>
          <w:bCs/>
          <w:sz w:val="22"/>
          <w:szCs w:val="22"/>
        </w:rPr>
        <w:t xml:space="preserve"> du décret</w:t>
      </w:r>
      <w:r w:rsidRPr="00F81EC5">
        <w:rPr>
          <w:rFonts w:asciiTheme="minorHAnsi" w:hAnsiTheme="minorHAnsi" w:cstheme="minorHAnsi"/>
          <w:bCs/>
          <w:sz w:val="22"/>
          <w:szCs w:val="22"/>
        </w:rPr>
        <w:t xml:space="preserve"> ne prévoit pas de dispositif </w:t>
      </w:r>
      <w:r w:rsidR="00B86EE6">
        <w:rPr>
          <w:rFonts w:asciiTheme="minorHAnsi" w:hAnsiTheme="minorHAnsi" w:cstheme="minorHAnsi"/>
          <w:bCs/>
          <w:sz w:val="22"/>
          <w:szCs w:val="22"/>
        </w:rPr>
        <w:t xml:space="preserve">d’indemnisation </w:t>
      </w:r>
      <w:r w:rsidRPr="00F81EC5">
        <w:rPr>
          <w:rFonts w:asciiTheme="minorHAnsi" w:hAnsiTheme="minorHAnsi" w:cstheme="minorHAnsi"/>
          <w:bCs/>
          <w:sz w:val="22"/>
          <w:szCs w:val="22"/>
        </w:rPr>
        <w:t>au bénéfice du Centre.</w:t>
      </w:r>
    </w:p>
    <w:p w14:paraId="7EA7CDDC" w14:textId="77777777" w:rsidR="003B7210" w:rsidRPr="00F81EC5" w:rsidRDefault="003B7210"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1562C24D" w14:textId="50CB2FB0" w:rsidR="003B7210" w:rsidRPr="00F81EC5" w:rsidRDefault="00B86EE6"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Pr>
          <w:rFonts w:asciiTheme="minorHAnsi" w:hAnsiTheme="minorHAnsi" w:cstheme="minorHAnsi"/>
          <w:bCs/>
          <w:sz w:val="22"/>
          <w:szCs w:val="22"/>
        </w:rPr>
        <w:t>Quant à</w:t>
      </w:r>
      <w:r w:rsidR="003B7210" w:rsidRPr="00F81EC5">
        <w:rPr>
          <w:rFonts w:asciiTheme="minorHAnsi" w:hAnsiTheme="minorHAnsi" w:cstheme="minorHAnsi"/>
          <w:bCs/>
          <w:sz w:val="22"/>
          <w:szCs w:val="22"/>
        </w:rPr>
        <w:t xml:space="preserve"> l’article 2</w:t>
      </w:r>
      <w:r>
        <w:rPr>
          <w:rFonts w:asciiTheme="minorHAnsi" w:hAnsiTheme="minorHAnsi" w:cstheme="minorHAnsi"/>
          <w:bCs/>
          <w:sz w:val="22"/>
          <w:szCs w:val="22"/>
        </w:rPr>
        <w:t xml:space="preserve">1, </w:t>
      </w:r>
      <w:r w:rsidR="00B87B95">
        <w:rPr>
          <w:rFonts w:asciiTheme="minorHAnsi" w:hAnsiTheme="minorHAnsi" w:cstheme="minorHAnsi"/>
          <w:bCs/>
          <w:sz w:val="22"/>
          <w:szCs w:val="22"/>
        </w:rPr>
        <w:t xml:space="preserve">s’il permet au Centre de demander au Président du tribunal d’ordonner la cessation </w:t>
      </w:r>
      <w:r w:rsidR="00961A7E">
        <w:rPr>
          <w:rFonts w:asciiTheme="minorHAnsi" w:hAnsiTheme="minorHAnsi" w:cstheme="minorHAnsi"/>
          <w:bCs/>
          <w:sz w:val="22"/>
          <w:szCs w:val="22"/>
        </w:rPr>
        <w:t xml:space="preserve">d’un acte constituant une discrimination, </w:t>
      </w:r>
      <w:r w:rsidR="004F336F">
        <w:rPr>
          <w:rFonts w:asciiTheme="minorHAnsi" w:hAnsiTheme="minorHAnsi" w:cstheme="minorHAnsi"/>
          <w:bCs/>
          <w:sz w:val="22"/>
          <w:szCs w:val="22"/>
        </w:rPr>
        <w:t>à nouveau, cette disposition ne prévoit que l’indemnisation pour la victime dudit acte.</w:t>
      </w:r>
    </w:p>
    <w:p w14:paraId="4F44F6AA" w14:textId="77777777" w:rsidR="003E3063" w:rsidRPr="00F81EC5" w:rsidRDefault="003E3063"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5B38D454" w14:textId="4783A2C0" w:rsidR="003E3063" w:rsidRPr="00F81EC5" w:rsidRDefault="003E3063"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F81EC5">
        <w:rPr>
          <w:rFonts w:asciiTheme="minorHAnsi" w:hAnsiTheme="minorHAnsi" w:cstheme="minorHAnsi"/>
          <w:bCs/>
          <w:sz w:val="22"/>
          <w:szCs w:val="22"/>
        </w:rPr>
        <w:t>L’action en responsabilité introduite par UNIA touche au fond, et le président du tribunal n’est pas saisi au fond, mais dans le cadre d’une action en cessation aux contours bien définis.</w:t>
      </w:r>
    </w:p>
    <w:p w14:paraId="4CA4658D" w14:textId="77777777" w:rsidR="00372BA9" w:rsidRPr="00F81EC5" w:rsidRDefault="00372BA9"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6B80EEA0" w14:textId="72D89D11" w:rsidR="00372BA9" w:rsidRPr="006E3CAB" w:rsidRDefault="00372BA9"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F81EC5">
        <w:rPr>
          <w:rFonts w:asciiTheme="minorHAnsi" w:hAnsiTheme="minorHAnsi" w:cstheme="minorHAnsi"/>
          <w:bCs/>
          <w:sz w:val="22"/>
          <w:szCs w:val="22"/>
        </w:rPr>
        <w:t>Le président du tribunal est sans compétence pour se prononcer sur ce chef de demande.</w:t>
      </w:r>
    </w:p>
    <w:p w14:paraId="3F65FFE1" w14:textId="77777777" w:rsidR="00417580" w:rsidRPr="006E3CAB" w:rsidRDefault="00417580" w:rsidP="00D368C9">
      <w:pPr>
        <w:pStyle w:val="Liste"/>
        <w:spacing w:before="100" w:beforeAutospacing="1" w:after="100" w:afterAutospacing="1"/>
        <w:ind w:left="0" w:firstLine="0"/>
        <w:contextualSpacing/>
        <w:jc w:val="both"/>
        <w:rPr>
          <w:rFonts w:asciiTheme="minorHAnsi" w:hAnsiTheme="minorHAnsi" w:cstheme="minorHAnsi"/>
          <w:b/>
          <w:sz w:val="22"/>
          <w:szCs w:val="22"/>
          <w:u w:val="single"/>
        </w:rPr>
      </w:pPr>
    </w:p>
    <w:p w14:paraId="232EEA23" w14:textId="77777777" w:rsidR="00911597" w:rsidRPr="006E3CAB" w:rsidRDefault="00911597" w:rsidP="00D368C9">
      <w:pPr>
        <w:pStyle w:val="Liste"/>
        <w:spacing w:before="100" w:beforeAutospacing="1" w:after="100" w:afterAutospacing="1"/>
        <w:contextualSpacing/>
        <w:jc w:val="both"/>
        <w:rPr>
          <w:rFonts w:asciiTheme="minorHAnsi" w:hAnsiTheme="minorHAnsi" w:cstheme="minorHAnsi"/>
          <w:sz w:val="22"/>
          <w:szCs w:val="22"/>
        </w:rPr>
      </w:pPr>
    </w:p>
    <w:p w14:paraId="59D8FC5B" w14:textId="2BC1544C" w:rsidR="00911597" w:rsidRPr="00634FF2" w:rsidRDefault="00911597" w:rsidP="00F31065">
      <w:pPr>
        <w:pStyle w:val="Liste"/>
        <w:numPr>
          <w:ilvl w:val="0"/>
          <w:numId w:val="29"/>
        </w:numPr>
        <w:spacing w:before="100" w:beforeAutospacing="1" w:after="100" w:afterAutospacing="1"/>
        <w:contextualSpacing/>
        <w:jc w:val="both"/>
        <w:rPr>
          <w:rFonts w:asciiTheme="minorHAnsi" w:hAnsiTheme="minorHAnsi" w:cstheme="minorHAnsi"/>
          <w:bCs/>
          <w:sz w:val="22"/>
          <w:szCs w:val="22"/>
          <w:u w:val="single"/>
        </w:rPr>
      </w:pPr>
      <w:r w:rsidRPr="00634FF2">
        <w:rPr>
          <w:rFonts w:asciiTheme="minorHAnsi" w:hAnsiTheme="minorHAnsi" w:cstheme="minorHAnsi"/>
          <w:bCs/>
          <w:sz w:val="22"/>
          <w:szCs w:val="22"/>
          <w:u w:val="single"/>
          <w:lang w:val="fr-BE" w:eastAsia="en-GB"/>
        </w:rPr>
        <w:t>Quant à la publication ou la diffusion du jugement à intervenir ou du résumé de celui-ci dans</w:t>
      </w:r>
      <w:r w:rsidR="00142D7A" w:rsidRPr="00634FF2">
        <w:rPr>
          <w:rFonts w:asciiTheme="minorHAnsi" w:hAnsiTheme="minorHAnsi" w:cstheme="minorHAnsi"/>
          <w:bCs/>
          <w:sz w:val="22"/>
          <w:szCs w:val="22"/>
          <w:u w:val="single"/>
          <w:lang w:val="fr-BE" w:eastAsia="en-GB"/>
        </w:rPr>
        <w:t xml:space="preserve"> 3 journaux francophones</w:t>
      </w:r>
      <w:r w:rsidR="00FC6F39" w:rsidRPr="00634FF2">
        <w:rPr>
          <w:rFonts w:asciiTheme="minorHAnsi" w:hAnsiTheme="minorHAnsi" w:cstheme="minorHAnsi"/>
          <w:bCs/>
          <w:sz w:val="22"/>
          <w:szCs w:val="22"/>
          <w:u w:val="single"/>
          <w:lang w:val="fr-BE" w:eastAsia="en-GB"/>
        </w:rPr>
        <w:t xml:space="preserve">,  et </w:t>
      </w:r>
      <w:r w:rsidR="008329A3" w:rsidRPr="00634FF2">
        <w:rPr>
          <w:rFonts w:asciiTheme="minorHAnsi" w:hAnsiTheme="minorHAnsi" w:cstheme="minorHAnsi"/>
          <w:bCs/>
          <w:sz w:val="22"/>
          <w:szCs w:val="22"/>
          <w:u w:val="single"/>
          <w:lang w:val="fr-BE" w:eastAsia="en-GB"/>
        </w:rPr>
        <w:t xml:space="preserve">quant à </w:t>
      </w:r>
      <w:r w:rsidR="00FC6F39" w:rsidRPr="00634FF2">
        <w:rPr>
          <w:rFonts w:asciiTheme="minorHAnsi" w:hAnsiTheme="minorHAnsi" w:cstheme="minorHAnsi"/>
          <w:bCs/>
          <w:sz w:val="22"/>
          <w:szCs w:val="22"/>
          <w:u w:val="single"/>
          <w:lang w:val="fr-BE" w:eastAsia="en-GB"/>
        </w:rPr>
        <w:t>l’affichage d</w:t>
      </w:r>
      <w:r w:rsidR="004F0AFB" w:rsidRPr="00634FF2">
        <w:rPr>
          <w:rFonts w:asciiTheme="minorHAnsi" w:hAnsiTheme="minorHAnsi" w:cstheme="minorHAnsi"/>
          <w:bCs/>
          <w:sz w:val="22"/>
          <w:szCs w:val="22"/>
          <w:u w:val="single"/>
          <w:lang w:val="fr-BE" w:eastAsia="en-GB"/>
        </w:rPr>
        <w:t>e la décision</w:t>
      </w:r>
      <w:r w:rsidR="00FC6F39" w:rsidRPr="00634FF2">
        <w:rPr>
          <w:rFonts w:asciiTheme="minorHAnsi" w:hAnsiTheme="minorHAnsi" w:cstheme="minorHAnsi"/>
          <w:bCs/>
          <w:sz w:val="22"/>
          <w:szCs w:val="22"/>
          <w:u w:val="single"/>
          <w:lang w:val="fr-BE" w:eastAsia="en-GB"/>
        </w:rPr>
        <w:t xml:space="preserve"> à intervenir</w:t>
      </w:r>
      <w:r w:rsidRPr="00634FF2">
        <w:rPr>
          <w:rFonts w:asciiTheme="minorHAnsi" w:hAnsiTheme="minorHAnsi" w:cstheme="minorHAnsi"/>
          <w:bCs/>
          <w:sz w:val="22"/>
          <w:szCs w:val="22"/>
          <w:u w:val="single"/>
          <w:lang w:val="fr-BE" w:eastAsia="en-GB"/>
        </w:rPr>
        <w:t> </w:t>
      </w:r>
    </w:p>
    <w:p w14:paraId="07C0712E" w14:textId="48871DF5" w:rsidR="00C52296" w:rsidRPr="003B482A" w:rsidRDefault="006A034D" w:rsidP="00D368C9">
      <w:pPr>
        <w:shd w:val="clear" w:color="auto" w:fill="FFFFFF"/>
        <w:spacing w:before="100" w:beforeAutospacing="1" w:after="100" w:afterAutospacing="1" w:line="240" w:lineRule="auto"/>
        <w:contextualSpacing/>
        <w:jc w:val="both"/>
        <w:rPr>
          <w:rFonts w:eastAsia="Times New Roman" w:cstheme="minorHAnsi"/>
          <w:lang w:val="fr-BE" w:eastAsia="en-GB"/>
        </w:rPr>
      </w:pPr>
      <w:r w:rsidRPr="003B482A">
        <w:rPr>
          <w:rFonts w:eastAsia="Times New Roman" w:cstheme="minorHAnsi"/>
          <w:lang w:val="fr-BE" w:eastAsia="en-GB"/>
        </w:rPr>
        <w:t>Seul UNIA sollicite cette publicité.</w:t>
      </w:r>
    </w:p>
    <w:p w14:paraId="2A83A25F" w14:textId="77777777" w:rsidR="006A034D" w:rsidRPr="003B482A" w:rsidRDefault="006A034D" w:rsidP="00D368C9">
      <w:pPr>
        <w:shd w:val="clear" w:color="auto" w:fill="FFFFFF"/>
        <w:spacing w:before="100" w:beforeAutospacing="1" w:after="100" w:afterAutospacing="1" w:line="240" w:lineRule="auto"/>
        <w:contextualSpacing/>
        <w:jc w:val="both"/>
        <w:rPr>
          <w:rFonts w:eastAsia="Times New Roman" w:cstheme="minorHAnsi"/>
          <w:lang w:val="fr-BE" w:eastAsia="en-GB"/>
        </w:rPr>
      </w:pPr>
    </w:p>
    <w:p w14:paraId="26FE8A6E" w14:textId="5E268B72" w:rsidR="00911597" w:rsidRPr="003B482A" w:rsidRDefault="00C52296" w:rsidP="00D368C9">
      <w:pPr>
        <w:shd w:val="clear" w:color="auto" w:fill="FFFFFF"/>
        <w:spacing w:before="100" w:beforeAutospacing="1" w:after="100" w:afterAutospacing="1" w:line="240" w:lineRule="auto"/>
        <w:contextualSpacing/>
        <w:jc w:val="both"/>
        <w:rPr>
          <w:rFonts w:eastAsia="Times New Roman" w:cstheme="minorHAnsi"/>
          <w:lang w:val="fr-BE" w:eastAsia="en-GB"/>
        </w:rPr>
      </w:pPr>
      <w:r w:rsidRPr="003B482A">
        <w:rPr>
          <w:rFonts w:eastAsia="Times New Roman" w:cstheme="minorHAnsi"/>
          <w:lang w:val="fr-BE" w:eastAsia="en-GB"/>
        </w:rPr>
        <w:t>L’OTW</w:t>
      </w:r>
      <w:r w:rsidR="00911597" w:rsidRPr="003B482A">
        <w:rPr>
          <w:rFonts w:eastAsia="Times New Roman" w:cstheme="minorHAnsi"/>
          <w:lang w:val="fr-BE" w:eastAsia="en-GB"/>
        </w:rPr>
        <w:t xml:space="preserve"> s’y oppose, en soutenant que les mesures de publicité, visées par l’article 20, § 3, alinéa 2, ne sont prévues que si elles sont de nature à contribuer à la cessation de l'acte incriminé ou de ses effets. </w:t>
      </w:r>
    </w:p>
    <w:p w14:paraId="4DD4D4AA" w14:textId="412692E2" w:rsidR="00911597" w:rsidRPr="003B482A" w:rsidRDefault="00911597"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3B482A">
        <w:rPr>
          <w:rFonts w:asciiTheme="minorHAnsi" w:hAnsiTheme="minorHAnsi" w:cstheme="minorHAnsi"/>
          <w:bCs/>
          <w:sz w:val="22"/>
          <w:szCs w:val="22"/>
        </w:rPr>
        <w:t xml:space="preserve">Le tribunal n’estime pas devoir faire droit à cette demande de publication et </w:t>
      </w:r>
      <w:r w:rsidR="00A91423" w:rsidRPr="003B482A">
        <w:rPr>
          <w:rFonts w:asciiTheme="minorHAnsi" w:hAnsiTheme="minorHAnsi" w:cstheme="minorHAnsi"/>
          <w:bCs/>
          <w:sz w:val="22"/>
          <w:szCs w:val="22"/>
        </w:rPr>
        <w:t>d’affichage</w:t>
      </w:r>
      <w:r w:rsidR="00236370" w:rsidRPr="003B482A">
        <w:rPr>
          <w:rFonts w:asciiTheme="minorHAnsi" w:hAnsiTheme="minorHAnsi" w:cstheme="minorHAnsi"/>
          <w:bCs/>
          <w:sz w:val="22"/>
          <w:szCs w:val="22"/>
        </w:rPr>
        <w:t>.</w:t>
      </w:r>
      <w:r w:rsidRPr="003B482A">
        <w:rPr>
          <w:rFonts w:asciiTheme="minorHAnsi" w:hAnsiTheme="minorHAnsi" w:cstheme="minorHAnsi"/>
          <w:bCs/>
          <w:sz w:val="22"/>
          <w:szCs w:val="22"/>
        </w:rPr>
        <w:t xml:space="preserve">   </w:t>
      </w:r>
    </w:p>
    <w:p w14:paraId="78EF52F3" w14:textId="77777777" w:rsidR="00911597" w:rsidRPr="003B482A" w:rsidRDefault="00911597"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2E9E87FE" w14:textId="39FC23E8" w:rsidR="00A91423" w:rsidRDefault="00911597"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3B482A">
        <w:rPr>
          <w:rFonts w:asciiTheme="minorHAnsi" w:hAnsiTheme="minorHAnsi" w:cstheme="minorHAnsi"/>
          <w:bCs/>
          <w:sz w:val="22"/>
          <w:szCs w:val="22"/>
        </w:rPr>
        <w:t xml:space="preserve">En effet, maximaliser </w:t>
      </w:r>
      <w:r w:rsidR="00A027ED">
        <w:rPr>
          <w:rFonts w:asciiTheme="minorHAnsi" w:hAnsiTheme="minorHAnsi" w:cstheme="minorHAnsi"/>
          <w:bCs/>
          <w:sz w:val="22"/>
          <w:szCs w:val="22"/>
        </w:rPr>
        <w:t xml:space="preserve">ou maximiser </w:t>
      </w:r>
      <w:r w:rsidRPr="003B482A">
        <w:rPr>
          <w:rFonts w:asciiTheme="minorHAnsi" w:hAnsiTheme="minorHAnsi" w:cstheme="minorHAnsi"/>
          <w:bCs/>
          <w:sz w:val="22"/>
          <w:szCs w:val="22"/>
        </w:rPr>
        <w:t>la publicité d’un</w:t>
      </w:r>
      <w:r w:rsidR="004F0AFB" w:rsidRPr="003B482A">
        <w:rPr>
          <w:rFonts w:asciiTheme="minorHAnsi" w:hAnsiTheme="minorHAnsi" w:cstheme="minorHAnsi"/>
          <w:bCs/>
          <w:sz w:val="22"/>
          <w:szCs w:val="22"/>
        </w:rPr>
        <w:t>e</w:t>
      </w:r>
      <w:r w:rsidRPr="003B482A">
        <w:rPr>
          <w:rFonts w:asciiTheme="minorHAnsi" w:hAnsiTheme="minorHAnsi" w:cstheme="minorHAnsi"/>
          <w:bCs/>
          <w:sz w:val="22"/>
          <w:szCs w:val="22"/>
        </w:rPr>
        <w:t xml:space="preserve"> tel</w:t>
      </w:r>
      <w:r w:rsidR="004F0AFB" w:rsidRPr="003B482A">
        <w:rPr>
          <w:rFonts w:asciiTheme="minorHAnsi" w:hAnsiTheme="minorHAnsi" w:cstheme="minorHAnsi"/>
          <w:bCs/>
          <w:sz w:val="22"/>
          <w:szCs w:val="22"/>
        </w:rPr>
        <w:t>le décision</w:t>
      </w:r>
      <w:r w:rsidRPr="003B482A">
        <w:rPr>
          <w:rFonts w:asciiTheme="minorHAnsi" w:hAnsiTheme="minorHAnsi" w:cstheme="minorHAnsi"/>
          <w:bCs/>
          <w:sz w:val="22"/>
          <w:szCs w:val="22"/>
        </w:rPr>
        <w:t xml:space="preserve">, avec </w:t>
      </w:r>
      <w:r w:rsidR="003652C8" w:rsidRPr="003B482A">
        <w:rPr>
          <w:rFonts w:asciiTheme="minorHAnsi" w:hAnsiTheme="minorHAnsi" w:cstheme="minorHAnsi"/>
          <w:bCs/>
          <w:sz w:val="22"/>
          <w:szCs w:val="22"/>
        </w:rPr>
        <w:t xml:space="preserve">ou même sans </w:t>
      </w:r>
      <w:r w:rsidRPr="003B482A">
        <w:rPr>
          <w:rFonts w:asciiTheme="minorHAnsi" w:hAnsiTheme="minorHAnsi" w:cstheme="minorHAnsi"/>
          <w:bCs/>
          <w:sz w:val="22"/>
          <w:szCs w:val="22"/>
        </w:rPr>
        <w:t>le nom</w:t>
      </w:r>
      <w:r w:rsidR="003652C8" w:rsidRPr="003B482A">
        <w:rPr>
          <w:rFonts w:asciiTheme="minorHAnsi" w:hAnsiTheme="minorHAnsi" w:cstheme="minorHAnsi"/>
          <w:bCs/>
          <w:sz w:val="22"/>
          <w:szCs w:val="22"/>
        </w:rPr>
        <w:t xml:space="preserve"> du </w:t>
      </w:r>
      <w:r w:rsidR="00FB4541">
        <w:rPr>
          <w:rFonts w:asciiTheme="minorHAnsi" w:hAnsiTheme="minorHAnsi" w:cstheme="minorHAnsi"/>
          <w:bCs/>
          <w:sz w:val="22"/>
          <w:szCs w:val="22"/>
        </w:rPr>
        <w:t>requérant</w:t>
      </w:r>
      <w:r w:rsidRPr="003B482A">
        <w:rPr>
          <w:rFonts w:asciiTheme="minorHAnsi" w:hAnsiTheme="minorHAnsi" w:cstheme="minorHAnsi"/>
          <w:bCs/>
          <w:sz w:val="22"/>
          <w:szCs w:val="22"/>
        </w:rPr>
        <w:t>, n’apparait pas la meilleure idée pour pacifier les relations de travail futures entre M</w:t>
      </w:r>
      <w:r w:rsidR="00236370" w:rsidRPr="003B482A">
        <w:rPr>
          <w:rFonts w:asciiTheme="minorHAnsi" w:hAnsiTheme="minorHAnsi" w:cstheme="minorHAnsi"/>
          <w:bCs/>
          <w:sz w:val="22"/>
          <w:szCs w:val="22"/>
        </w:rPr>
        <w:t xml:space="preserve">onsieur </w:t>
      </w:r>
      <w:r w:rsidR="00AC7907">
        <w:rPr>
          <w:rFonts w:asciiTheme="minorHAnsi" w:hAnsiTheme="minorHAnsi" w:cstheme="minorHAnsi"/>
          <w:bCs/>
          <w:sz w:val="22"/>
          <w:szCs w:val="22"/>
        </w:rPr>
        <w:t>P</w:t>
      </w:r>
      <w:r w:rsidRPr="003B482A">
        <w:rPr>
          <w:rFonts w:asciiTheme="minorHAnsi" w:hAnsiTheme="minorHAnsi" w:cstheme="minorHAnsi"/>
          <w:bCs/>
          <w:sz w:val="22"/>
          <w:szCs w:val="22"/>
        </w:rPr>
        <w:t xml:space="preserve"> et l</w:t>
      </w:r>
      <w:r w:rsidR="00236370" w:rsidRPr="003B482A">
        <w:rPr>
          <w:rFonts w:asciiTheme="minorHAnsi" w:hAnsiTheme="minorHAnsi" w:cstheme="minorHAnsi"/>
          <w:bCs/>
          <w:sz w:val="22"/>
          <w:szCs w:val="22"/>
        </w:rPr>
        <w:t>’OTW</w:t>
      </w:r>
      <w:r w:rsidRPr="003B482A">
        <w:rPr>
          <w:rFonts w:asciiTheme="minorHAnsi" w:hAnsiTheme="minorHAnsi" w:cstheme="minorHAnsi"/>
          <w:bCs/>
          <w:sz w:val="22"/>
          <w:szCs w:val="22"/>
        </w:rPr>
        <w:t>, et risque autant de rendre plus crispé et difficile que plus apaisé le climat au sein d</w:t>
      </w:r>
      <w:r w:rsidR="008F3556" w:rsidRPr="003B482A">
        <w:rPr>
          <w:rFonts w:asciiTheme="minorHAnsi" w:hAnsiTheme="minorHAnsi" w:cstheme="minorHAnsi"/>
          <w:bCs/>
          <w:sz w:val="22"/>
          <w:szCs w:val="22"/>
        </w:rPr>
        <w:t>e l’OTW et du TEC du Brabant wallon</w:t>
      </w:r>
      <w:r w:rsidR="009F437E" w:rsidRPr="003B482A">
        <w:rPr>
          <w:rFonts w:asciiTheme="minorHAnsi" w:hAnsiTheme="minorHAnsi" w:cstheme="minorHAnsi"/>
          <w:bCs/>
          <w:sz w:val="22"/>
          <w:szCs w:val="22"/>
        </w:rPr>
        <w:t xml:space="preserve">, et la reprise sereine du travail par Monsieur </w:t>
      </w:r>
      <w:r w:rsidR="00AC7907">
        <w:rPr>
          <w:rFonts w:asciiTheme="minorHAnsi" w:hAnsiTheme="minorHAnsi" w:cstheme="minorHAnsi"/>
          <w:bCs/>
          <w:sz w:val="22"/>
          <w:szCs w:val="22"/>
        </w:rPr>
        <w:t>P</w:t>
      </w:r>
      <w:r w:rsidR="009F437E" w:rsidRPr="003B482A">
        <w:rPr>
          <w:rFonts w:asciiTheme="minorHAnsi" w:hAnsiTheme="minorHAnsi" w:cstheme="minorHAnsi"/>
          <w:bCs/>
          <w:sz w:val="22"/>
          <w:szCs w:val="22"/>
        </w:rPr>
        <w:t xml:space="preserve"> dans le cadre d’un mi-temps</w:t>
      </w:r>
      <w:r w:rsidR="00A91423" w:rsidRPr="003B482A">
        <w:rPr>
          <w:rFonts w:asciiTheme="minorHAnsi" w:hAnsiTheme="minorHAnsi" w:cstheme="minorHAnsi"/>
          <w:bCs/>
          <w:sz w:val="22"/>
          <w:szCs w:val="22"/>
        </w:rPr>
        <w:t>.</w:t>
      </w:r>
    </w:p>
    <w:p w14:paraId="4419E483" w14:textId="77777777" w:rsidR="00572553" w:rsidRDefault="00572553"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7B411035" w14:textId="1178A9E1" w:rsidR="00572553" w:rsidRPr="003B482A" w:rsidRDefault="00572553"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Pr>
          <w:rFonts w:asciiTheme="minorHAnsi" w:hAnsiTheme="minorHAnsi" w:cstheme="minorHAnsi"/>
          <w:bCs/>
          <w:sz w:val="22"/>
          <w:szCs w:val="22"/>
        </w:rPr>
        <w:t>Le monde a besoin de paix, plus que jamais.</w:t>
      </w:r>
    </w:p>
    <w:p w14:paraId="104E2246" w14:textId="6613865D" w:rsidR="00911597" w:rsidRPr="006E3CAB" w:rsidRDefault="00911597"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1CE99744" w14:textId="0B2E587B" w:rsidR="008F4661" w:rsidRPr="006E3CAB" w:rsidRDefault="00A91423" w:rsidP="00D368C9">
      <w:pPr>
        <w:pStyle w:val="Liste"/>
        <w:spacing w:before="100" w:beforeAutospacing="1" w:after="100" w:afterAutospacing="1"/>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Ce chef de demande est non fondé.</w:t>
      </w:r>
    </w:p>
    <w:p w14:paraId="3D5BFB67" w14:textId="77777777" w:rsidR="00FC6F39" w:rsidRDefault="00FC6F39" w:rsidP="00D368C9">
      <w:pPr>
        <w:pStyle w:val="Liste"/>
        <w:spacing w:before="100" w:beforeAutospacing="1" w:after="100" w:afterAutospacing="1"/>
        <w:ind w:left="360" w:firstLine="0"/>
        <w:contextualSpacing/>
        <w:jc w:val="both"/>
        <w:rPr>
          <w:rFonts w:asciiTheme="minorHAnsi" w:hAnsiTheme="minorHAnsi" w:cstheme="minorHAnsi"/>
          <w:bCs/>
          <w:sz w:val="22"/>
          <w:szCs w:val="22"/>
        </w:rPr>
      </w:pPr>
    </w:p>
    <w:p w14:paraId="7851B8F9" w14:textId="77777777" w:rsidR="003B482A" w:rsidRPr="004739A9" w:rsidRDefault="003B482A" w:rsidP="00D368C9">
      <w:pPr>
        <w:pStyle w:val="Liste"/>
        <w:spacing w:before="100" w:beforeAutospacing="1" w:after="100" w:afterAutospacing="1"/>
        <w:ind w:left="360" w:firstLine="0"/>
        <w:contextualSpacing/>
        <w:jc w:val="both"/>
        <w:rPr>
          <w:rFonts w:asciiTheme="minorHAnsi" w:hAnsiTheme="minorHAnsi" w:cstheme="minorHAnsi"/>
          <w:sz w:val="22"/>
          <w:szCs w:val="22"/>
        </w:rPr>
      </w:pPr>
    </w:p>
    <w:p w14:paraId="303CB9D2" w14:textId="14E1B180" w:rsidR="008F4661" w:rsidRPr="004739A9" w:rsidRDefault="008F4661" w:rsidP="003B482A">
      <w:pPr>
        <w:pStyle w:val="Liste"/>
        <w:numPr>
          <w:ilvl w:val="0"/>
          <w:numId w:val="29"/>
        </w:numPr>
        <w:spacing w:before="100" w:beforeAutospacing="1" w:after="100" w:afterAutospacing="1"/>
        <w:contextualSpacing/>
        <w:jc w:val="both"/>
        <w:rPr>
          <w:rFonts w:asciiTheme="minorHAnsi" w:hAnsiTheme="minorHAnsi" w:cstheme="minorHAnsi"/>
          <w:sz w:val="22"/>
          <w:szCs w:val="22"/>
          <w:u w:val="single"/>
        </w:rPr>
      </w:pPr>
      <w:r w:rsidRPr="004739A9">
        <w:rPr>
          <w:rFonts w:asciiTheme="minorHAnsi" w:hAnsiTheme="minorHAnsi" w:cstheme="minorHAnsi"/>
          <w:sz w:val="22"/>
          <w:szCs w:val="22"/>
          <w:u w:val="single"/>
        </w:rPr>
        <w:t>Quant à l’astreinte (demandée uniquement par UNIA)</w:t>
      </w:r>
    </w:p>
    <w:p w14:paraId="478BC654" w14:textId="33378AFF" w:rsidR="008F4661" w:rsidRDefault="008F4661" w:rsidP="00D368C9">
      <w:pPr>
        <w:pStyle w:val="Corpsdetexte"/>
        <w:tabs>
          <w:tab w:val="right" w:pos="7088"/>
        </w:tabs>
        <w:spacing w:before="100" w:beforeAutospacing="1" w:after="100" w:afterAutospacing="1"/>
        <w:contextualSpacing/>
        <w:rPr>
          <w:rFonts w:asciiTheme="minorHAnsi" w:hAnsiTheme="minorHAnsi" w:cstheme="minorHAnsi"/>
          <w:sz w:val="22"/>
          <w:szCs w:val="22"/>
        </w:rPr>
      </w:pPr>
      <w:bookmarkStart w:id="0" w:name="Art.19"/>
      <w:r w:rsidRPr="00F31065">
        <w:rPr>
          <w:rFonts w:asciiTheme="minorHAnsi" w:hAnsiTheme="minorHAnsi" w:cstheme="minorHAnsi"/>
          <w:sz w:val="22"/>
          <w:szCs w:val="22"/>
        </w:rPr>
        <w:t xml:space="preserve">L’article </w:t>
      </w:r>
      <w:r w:rsidR="001809ED">
        <w:rPr>
          <w:rFonts w:asciiTheme="minorHAnsi" w:hAnsiTheme="minorHAnsi" w:cstheme="minorHAnsi"/>
          <w:sz w:val="22"/>
          <w:szCs w:val="22"/>
        </w:rPr>
        <w:t>21 du décret</w:t>
      </w:r>
      <w:r w:rsidRPr="00F31065">
        <w:rPr>
          <w:rFonts w:asciiTheme="minorHAnsi" w:hAnsiTheme="minorHAnsi" w:cstheme="minorHAnsi"/>
          <w:sz w:val="22"/>
          <w:szCs w:val="22"/>
        </w:rPr>
        <w:t xml:space="preserve"> dispose que</w:t>
      </w:r>
      <w:bookmarkEnd w:id="0"/>
      <w:r w:rsidRPr="00F31065">
        <w:rPr>
          <w:rFonts w:asciiTheme="minorHAnsi" w:hAnsiTheme="minorHAnsi" w:cstheme="minorHAnsi"/>
          <w:sz w:val="22"/>
          <w:szCs w:val="22"/>
        </w:rPr>
        <w:t> :</w:t>
      </w:r>
    </w:p>
    <w:p w14:paraId="2268760E" w14:textId="77777777" w:rsidR="003B482A" w:rsidRPr="00F31065" w:rsidRDefault="003B482A" w:rsidP="00D368C9">
      <w:pPr>
        <w:pStyle w:val="Corpsdetexte"/>
        <w:tabs>
          <w:tab w:val="right" w:pos="7088"/>
        </w:tabs>
        <w:spacing w:before="100" w:beforeAutospacing="1" w:after="100" w:afterAutospacing="1"/>
        <w:contextualSpacing/>
        <w:rPr>
          <w:rFonts w:asciiTheme="minorHAnsi" w:hAnsiTheme="minorHAnsi" w:cstheme="minorHAnsi"/>
          <w:sz w:val="22"/>
          <w:szCs w:val="22"/>
        </w:rPr>
      </w:pPr>
    </w:p>
    <w:p w14:paraId="584450CB" w14:textId="103645AA" w:rsidR="008F4661" w:rsidRPr="00F31065" w:rsidRDefault="008F4661" w:rsidP="003B482A">
      <w:pPr>
        <w:pStyle w:val="Corpsdetexte"/>
        <w:tabs>
          <w:tab w:val="right" w:pos="7088"/>
        </w:tabs>
        <w:spacing w:before="100" w:beforeAutospacing="1" w:after="100" w:afterAutospacing="1"/>
        <w:ind w:left="426"/>
        <w:contextualSpacing/>
        <w:rPr>
          <w:rFonts w:asciiTheme="minorHAnsi" w:hAnsiTheme="minorHAnsi" w:cstheme="minorHAnsi"/>
          <w:bCs/>
          <w:i/>
          <w:color w:val="000000"/>
          <w:sz w:val="22"/>
          <w:szCs w:val="22"/>
        </w:rPr>
      </w:pPr>
      <w:r w:rsidRPr="00F31065">
        <w:rPr>
          <w:rFonts w:asciiTheme="minorHAnsi" w:hAnsiTheme="minorHAnsi" w:cstheme="minorHAnsi"/>
          <w:i/>
          <w:sz w:val="22"/>
          <w:szCs w:val="22"/>
        </w:rPr>
        <w:t>«</w:t>
      </w:r>
      <w:r w:rsidR="001809ED">
        <w:rPr>
          <w:rFonts w:asciiTheme="minorHAnsi" w:hAnsiTheme="minorHAnsi" w:cstheme="minorHAnsi"/>
          <w:i/>
          <w:sz w:val="22"/>
          <w:szCs w:val="22"/>
        </w:rPr>
        <w:t xml:space="preserve"> </w:t>
      </w:r>
      <w:r w:rsidR="001809ED" w:rsidRPr="00F37436">
        <w:rPr>
          <w:rFonts w:asciiTheme="minorHAnsi" w:hAnsiTheme="minorHAnsi" w:cstheme="minorHAnsi"/>
          <w:b/>
          <w:bCs/>
          <w:i/>
          <w:sz w:val="22"/>
          <w:szCs w:val="22"/>
          <w:lang w:val="fr-BE"/>
        </w:rPr>
        <w:t>Le juge peut, à la demande de la victime</w:t>
      </w:r>
      <w:r w:rsidR="001809ED" w:rsidRPr="001809ED">
        <w:rPr>
          <w:rFonts w:asciiTheme="minorHAnsi" w:hAnsiTheme="minorHAnsi" w:cstheme="minorHAnsi"/>
          <w:i/>
          <w:sz w:val="22"/>
          <w:szCs w:val="22"/>
          <w:lang w:val="fr-BE"/>
        </w:rPr>
        <w:t xml:space="preserve"> de la discrimination, </w:t>
      </w:r>
      <w:r w:rsidR="001809ED" w:rsidRPr="00F37436">
        <w:rPr>
          <w:rFonts w:asciiTheme="minorHAnsi" w:hAnsiTheme="minorHAnsi" w:cstheme="minorHAnsi"/>
          <w:b/>
          <w:bCs/>
          <w:i/>
          <w:sz w:val="22"/>
          <w:szCs w:val="22"/>
          <w:lang w:val="fr-BE"/>
        </w:rPr>
        <w:t>du Centre</w:t>
      </w:r>
      <w:r w:rsidR="001809ED" w:rsidRPr="001809ED">
        <w:rPr>
          <w:rFonts w:asciiTheme="minorHAnsi" w:hAnsiTheme="minorHAnsi" w:cstheme="minorHAnsi"/>
          <w:i/>
          <w:sz w:val="22"/>
          <w:szCs w:val="22"/>
          <w:lang w:val="fr-BE"/>
        </w:rPr>
        <w:t>, de l'Institut ou de l'un des organes visés à l'article </w:t>
      </w:r>
      <w:hyperlink r:id="rId8" w:anchor="a679c888-7bb2-484c-a667-566e28001884" w:history="1">
        <w:r w:rsidR="001809ED" w:rsidRPr="001809ED">
          <w:rPr>
            <w:rStyle w:val="Lienhypertexte"/>
            <w:rFonts w:asciiTheme="minorHAnsi" w:hAnsiTheme="minorHAnsi" w:cstheme="minorHAnsi"/>
            <w:i/>
            <w:color w:val="auto"/>
            <w:sz w:val="22"/>
            <w:szCs w:val="22"/>
            <w:u w:val="none"/>
            <w:lang w:val="fr-BE"/>
          </w:rPr>
          <w:t>31</w:t>
        </w:r>
      </w:hyperlink>
      <w:r w:rsidR="001809ED" w:rsidRPr="001809ED">
        <w:rPr>
          <w:rFonts w:asciiTheme="minorHAnsi" w:hAnsiTheme="minorHAnsi" w:cstheme="minorHAnsi"/>
          <w:i/>
          <w:sz w:val="22"/>
          <w:szCs w:val="22"/>
          <w:lang w:val="fr-BE"/>
        </w:rPr>
        <w:t xml:space="preserve">, </w:t>
      </w:r>
      <w:r w:rsidR="001809ED" w:rsidRPr="00F37436">
        <w:rPr>
          <w:rFonts w:asciiTheme="minorHAnsi" w:hAnsiTheme="minorHAnsi" w:cstheme="minorHAnsi"/>
          <w:b/>
          <w:bCs/>
          <w:i/>
          <w:sz w:val="22"/>
          <w:szCs w:val="22"/>
          <w:lang w:val="fr-BE"/>
        </w:rPr>
        <w:t>condamner au paiement d'une astreinte</w:t>
      </w:r>
      <w:r w:rsidR="001809ED" w:rsidRPr="001809ED">
        <w:rPr>
          <w:rFonts w:asciiTheme="minorHAnsi" w:hAnsiTheme="minorHAnsi" w:cstheme="minorHAnsi"/>
          <w:i/>
          <w:sz w:val="22"/>
          <w:szCs w:val="22"/>
          <w:lang w:val="fr-BE"/>
        </w:rPr>
        <w:t xml:space="preserve"> l'auteur de la discrimination </w:t>
      </w:r>
      <w:r w:rsidR="001809ED" w:rsidRPr="00F37436">
        <w:rPr>
          <w:rFonts w:asciiTheme="minorHAnsi" w:hAnsiTheme="minorHAnsi" w:cstheme="minorHAnsi"/>
          <w:b/>
          <w:bCs/>
          <w:i/>
          <w:sz w:val="22"/>
          <w:szCs w:val="22"/>
          <w:lang w:val="fr-BE"/>
        </w:rPr>
        <w:t>pour le cas où il ne serait pas mis fin à celle-ci</w:t>
      </w:r>
      <w:r w:rsidR="001809ED" w:rsidRPr="001809ED">
        <w:rPr>
          <w:rFonts w:asciiTheme="minorHAnsi" w:hAnsiTheme="minorHAnsi" w:cstheme="minorHAnsi"/>
          <w:i/>
          <w:sz w:val="22"/>
          <w:szCs w:val="22"/>
          <w:lang w:val="fr-BE"/>
        </w:rPr>
        <w:t>. Le juge statue conformément aux articles 1385 </w:t>
      </w:r>
      <w:r w:rsidR="001809ED" w:rsidRPr="001809ED">
        <w:rPr>
          <w:rFonts w:asciiTheme="minorHAnsi" w:hAnsiTheme="minorHAnsi" w:cstheme="minorHAnsi"/>
          <w:i/>
          <w:iCs/>
          <w:sz w:val="22"/>
          <w:szCs w:val="22"/>
          <w:lang w:val="fr-BE"/>
        </w:rPr>
        <w:t>bis</w:t>
      </w:r>
      <w:r w:rsidR="001809ED">
        <w:rPr>
          <w:rFonts w:asciiTheme="minorHAnsi" w:hAnsiTheme="minorHAnsi" w:cstheme="minorHAnsi"/>
          <w:i/>
          <w:iCs/>
          <w:sz w:val="22"/>
          <w:szCs w:val="22"/>
          <w:lang w:val="fr-BE"/>
        </w:rPr>
        <w:t xml:space="preserve"> </w:t>
      </w:r>
      <w:r w:rsidR="001809ED" w:rsidRPr="001809ED">
        <w:rPr>
          <w:rFonts w:asciiTheme="minorHAnsi" w:hAnsiTheme="minorHAnsi" w:cstheme="minorHAnsi"/>
          <w:i/>
          <w:sz w:val="22"/>
          <w:szCs w:val="22"/>
          <w:lang w:val="fr-BE"/>
        </w:rPr>
        <w:t>à l385 </w:t>
      </w:r>
      <w:r w:rsidR="001809ED" w:rsidRPr="001809ED">
        <w:rPr>
          <w:rFonts w:asciiTheme="minorHAnsi" w:hAnsiTheme="minorHAnsi" w:cstheme="minorHAnsi"/>
          <w:i/>
          <w:iCs/>
          <w:sz w:val="22"/>
          <w:szCs w:val="22"/>
          <w:lang w:val="fr-BE"/>
        </w:rPr>
        <w:t>nonies</w:t>
      </w:r>
      <w:r w:rsidR="001809ED" w:rsidRPr="001809ED">
        <w:rPr>
          <w:rFonts w:asciiTheme="minorHAnsi" w:hAnsiTheme="minorHAnsi" w:cstheme="minorHAnsi"/>
          <w:i/>
          <w:sz w:val="22"/>
          <w:szCs w:val="22"/>
          <w:lang w:val="fr-BE"/>
        </w:rPr>
        <w:t> du Code judiciaire.</w:t>
      </w:r>
      <w:r w:rsidRPr="00F31065">
        <w:rPr>
          <w:rFonts w:asciiTheme="minorHAnsi" w:hAnsiTheme="minorHAnsi" w:cstheme="minorHAnsi"/>
          <w:bCs/>
          <w:i/>
          <w:color w:val="000000"/>
          <w:sz w:val="22"/>
          <w:szCs w:val="22"/>
        </w:rPr>
        <w:t> ».</w:t>
      </w:r>
    </w:p>
    <w:p w14:paraId="59F90168" w14:textId="77777777" w:rsidR="00F46A4B" w:rsidRPr="00F31065" w:rsidRDefault="00F46A4B" w:rsidP="00D368C9">
      <w:pPr>
        <w:pStyle w:val="Corpsdetexte"/>
        <w:tabs>
          <w:tab w:val="right" w:pos="7088"/>
        </w:tabs>
        <w:spacing w:before="100" w:beforeAutospacing="1" w:after="100" w:afterAutospacing="1"/>
        <w:contextualSpacing/>
        <w:rPr>
          <w:rFonts w:asciiTheme="minorHAnsi" w:hAnsiTheme="minorHAnsi" w:cstheme="minorHAnsi"/>
          <w:bCs/>
          <w:i/>
          <w:color w:val="000000"/>
          <w:sz w:val="22"/>
          <w:szCs w:val="22"/>
        </w:rPr>
      </w:pPr>
    </w:p>
    <w:p w14:paraId="6842A9A3" w14:textId="08F109DA" w:rsidR="00F46A4B" w:rsidRPr="00F31065" w:rsidRDefault="0083148B" w:rsidP="00D368C9">
      <w:pPr>
        <w:pStyle w:val="Corpsdetexte"/>
        <w:tabs>
          <w:tab w:val="right" w:pos="7088"/>
        </w:tabs>
        <w:spacing w:before="100" w:beforeAutospacing="1" w:after="100" w:afterAutospacing="1"/>
        <w:contextualSpacing/>
        <w:rPr>
          <w:rFonts w:asciiTheme="minorHAnsi" w:hAnsiTheme="minorHAnsi" w:cstheme="minorHAnsi"/>
          <w:bCs/>
          <w:iCs/>
          <w:color w:val="000000"/>
          <w:sz w:val="22"/>
          <w:szCs w:val="22"/>
        </w:rPr>
      </w:pPr>
      <w:r w:rsidRPr="00F31065">
        <w:rPr>
          <w:rFonts w:asciiTheme="minorHAnsi" w:hAnsiTheme="minorHAnsi" w:cstheme="minorHAnsi"/>
          <w:bCs/>
          <w:iCs/>
          <w:color w:val="000000"/>
          <w:sz w:val="22"/>
          <w:szCs w:val="22"/>
        </w:rPr>
        <w:t>En lisant le dispositif des conclusions de UNIA, c</w:t>
      </w:r>
      <w:r w:rsidR="00F46A4B" w:rsidRPr="00F31065">
        <w:rPr>
          <w:rFonts w:asciiTheme="minorHAnsi" w:hAnsiTheme="minorHAnsi" w:cstheme="minorHAnsi"/>
          <w:bCs/>
          <w:iCs/>
          <w:color w:val="000000"/>
          <w:sz w:val="22"/>
          <w:szCs w:val="22"/>
        </w:rPr>
        <w:t>ette demande ne vise que la publicité et</w:t>
      </w:r>
      <w:r w:rsidR="00A91423" w:rsidRPr="00F31065">
        <w:rPr>
          <w:rFonts w:asciiTheme="minorHAnsi" w:hAnsiTheme="minorHAnsi" w:cstheme="minorHAnsi"/>
          <w:bCs/>
          <w:iCs/>
          <w:color w:val="000000"/>
          <w:sz w:val="22"/>
          <w:szCs w:val="22"/>
        </w:rPr>
        <w:t xml:space="preserve"> l’affichage de la décision</w:t>
      </w:r>
      <w:r w:rsidR="00553AE5">
        <w:rPr>
          <w:rFonts w:asciiTheme="minorHAnsi" w:hAnsiTheme="minorHAnsi" w:cstheme="minorHAnsi"/>
          <w:bCs/>
          <w:iCs/>
          <w:color w:val="000000"/>
          <w:sz w:val="22"/>
          <w:szCs w:val="22"/>
        </w:rPr>
        <w:t xml:space="preserve">. Non seulement ces aspects ne contribuent pas directement à la cessation de la discrimination tel que </w:t>
      </w:r>
      <w:r w:rsidR="00351549">
        <w:rPr>
          <w:rFonts w:asciiTheme="minorHAnsi" w:hAnsiTheme="minorHAnsi" w:cstheme="minorHAnsi"/>
          <w:bCs/>
          <w:iCs/>
          <w:color w:val="000000"/>
          <w:sz w:val="22"/>
          <w:szCs w:val="22"/>
        </w:rPr>
        <w:t xml:space="preserve">prévu dans le décret </w:t>
      </w:r>
      <w:r w:rsidR="00553AE5">
        <w:rPr>
          <w:rFonts w:asciiTheme="minorHAnsi" w:hAnsiTheme="minorHAnsi" w:cstheme="minorHAnsi"/>
          <w:bCs/>
          <w:iCs/>
          <w:color w:val="000000"/>
          <w:sz w:val="22"/>
          <w:szCs w:val="22"/>
        </w:rPr>
        <w:t>mais par ailleurs</w:t>
      </w:r>
      <w:r w:rsidR="00351549">
        <w:rPr>
          <w:rFonts w:asciiTheme="minorHAnsi" w:hAnsiTheme="minorHAnsi" w:cstheme="minorHAnsi"/>
          <w:bCs/>
          <w:iCs/>
          <w:color w:val="000000"/>
          <w:sz w:val="22"/>
          <w:szCs w:val="22"/>
        </w:rPr>
        <w:t>, l</w:t>
      </w:r>
      <w:r w:rsidR="00A91423" w:rsidRPr="00F31065">
        <w:rPr>
          <w:rFonts w:asciiTheme="minorHAnsi" w:hAnsiTheme="minorHAnsi" w:cstheme="minorHAnsi"/>
          <w:bCs/>
          <w:iCs/>
          <w:color w:val="000000"/>
          <w:sz w:val="22"/>
          <w:szCs w:val="22"/>
        </w:rPr>
        <w:t xml:space="preserve">e président </w:t>
      </w:r>
      <w:r w:rsidR="00540709" w:rsidRPr="00F31065">
        <w:rPr>
          <w:rFonts w:asciiTheme="minorHAnsi" w:hAnsiTheme="minorHAnsi" w:cstheme="minorHAnsi"/>
          <w:bCs/>
          <w:iCs/>
          <w:color w:val="000000"/>
          <w:sz w:val="22"/>
          <w:szCs w:val="22"/>
        </w:rPr>
        <w:t xml:space="preserve">a dit </w:t>
      </w:r>
      <w:r w:rsidR="00351549">
        <w:rPr>
          <w:rFonts w:asciiTheme="minorHAnsi" w:hAnsiTheme="minorHAnsi" w:cstheme="minorHAnsi"/>
          <w:bCs/>
          <w:iCs/>
          <w:color w:val="000000"/>
          <w:sz w:val="22"/>
          <w:szCs w:val="22"/>
        </w:rPr>
        <w:t xml:space="preserve">ces demandes </w:t>
      </w:r>
      <w:r w:rsidR="00CC7CCC">
        <w:rPr>
          <w:rFonts w:asciiTheme="minorHAnsi" w:hAnsiTheme="minorHAnsi" w:cstheme="minorHAnsi"/>
          <w:bCs/>
          <w:iCs/>
          <w:color w:val="000000"/>
          <w:sz w:val="22"/>
          <w:szCs w:val="22"/>
        </w:rPr>
        <w:t xml:space="preserve">relatives à la publicité et à l’affichage de la décision </w:t>
      </w:r>
      <w:r w:rsidR="00540709" w:rsidRPr="00F31065">
        <w:rPr>
          <w:rFonts w:asciiTheme="minorHAnsi" w:hAnsiTheme="minorHAnsi" w:cstheme="minorHAnsi"/>
          <w:bCs/>
          <w:iCs/>
          <w:color w:val="000000"/>
          <w:sz w:val="22"/>
          <w:szCs w:val="22"/>
        </w:rPr>
        <w:t>non fondé</w:t>
      </w:r>
      <w:r w:rsidR="00351549">
        <w:rPr>
          <w:rFonts w:asciiTheme="minorHAnsi" w:hAnsiTheme="minorHAnsi" w:cstheme="minorHAnsi"/>
          <w:bCs/>
          <w:iCs/>
          <w:color w:val="000000"/>
          <w:sz w:val="22"/>
          <w:szCs w:val="22"/>
        </w:rPr>
        <w:t>e</w:t>
      </w:r>
      <w:r w:rsidR="00540709" w:rsidRPr="00F31065">
        <w:rPr>
          <w:rFonts w:asciiTheme="minorHAnsi" w:hAnsiTheme="minorHAnsi" w:cstheme="minorHAnsi"/>
          <w:bCs/>
          <w:iCs/>
          <w:color w:val="000000"/>
          <w:sz w:val="22"/>
          <w:szCs w:val="22"/>
        </w:rPr>
        <w:t>s.</w:t>
      </w:r>
    </w:p>
    <w:p w14:paraId="4409B004" w14:textId="77777777" w:rsidR="0075028E" w:rsidRPr="00F31065" w:rsidRDefault="0075028E" w:rsidP="00D368C9">
      <w:pPr>
        <w:pStyle w:val="Corpsdetexte"/>
        <w:tabs>
          <w:tab w:val="right" w:pos="7088"/>
        </w:tabs>
        <w:spacing w:before="100" w:beforeAutospacing="1" w:after="100" w:afterAutospacing="1"/>
        <w:contextualSpacing/>
        <w:rPr>
          <w:rFonts w:asciiTheme="minorHAnsi" w:hAnsiTheme="minorHAnsi" w:cstheme="minorHAnsi"/>
          <w:bCs/>
          <w:iCs/>
          <w:color w:val="000000"/>
          <w:sz w:val="22"/>
          <w:szCs w:val="22"/>
        </w:rPr>
      </w:pPr>
    </w:p>
    <w:p w14:paraId="2DA86523" w14:textId="586EA8BB" w:rsidR="008F4661" w:rsidRPr="00084004" w:rsidRDefault="007B22E0" w:rsidP="00084004">
      <w:pPr>
        <w:pStyle w:val="Corpsdetexte"/>
        <w:tabs>
          <w:tab w:val="right" w:pos="7088"/>
        </w:tabs>
        <w:spacing w:before="100" w:beforeAutospacing="1" w:after="100" w:afterAutospacing="1"/>
        <w:contextualSpacing/>
        <w:rPr>
          <w:rFonts w:asciiTheme="minorHAnsi" w:hAnsiTheme="minorHAnsi" w:cstheme="minorHAnsi"/>
          <w:bCs/>
          <w:iCs/>
          <w:color w:val="000000"/>
          <w:sz w:val="22"/>
          <w:szCs w:val="22"/>
        </w:rPr>
      </w:pPr>
      <w:r w:rsidRPr="00F31065">
        <w:rPr>
          <w:rFonts w:asciiTheme="minorHAnsi" w:hAnsiTheme="minorHAnsi" w:cstheme="minorHAnsi"/>
          <w:bCs/>
          <w:iCs/>
          <w:color w:val="000000"/>
          <w:sz w:val="22"/>
          <w:szCs w:val="22"/>
        </w:rPr>
        <w:t xml:space="preserve">Cette demande accessoire est donc </w:t>
      </w:r>
      <w:r w:rsidR="00351549">
        <w:rPr>
          <w:rFonts w:asciiTheme="minorHAnsi" w:hAnsiTheme="minorHAnsi" w:cstheme="minorHAnsi"/>
          <w:bCs/>
          <w:iCs/>
          <w:color w:val="000000"/>
          <w:sz w:val="22"/>
          <w:szCs w:val="22"/>
        </w:rPr>
        <w:t>également</w:t>
      </w:r>
      <w:r w:rsidRPr="00F31065">
        <w:rPr>
          <w:rFonts w:asciiTheme="minorHAnsi" w:hAnsiTheme="minorHAnsi" w:cstheme="minorHAnsi"/>
          <w:bCs/>
          <w:iCs/>
          <w:color w:val="000000"/>
          <w:sz w:val="22"/>
          <w:szCs w:val="22"/>
        </w:rPr>
        <w:t xml:space="preserve"> non fondée.</w:t>
      </w:r>
    </w:p>
    <w:p w14:paraId="29C1D2DD" w14:textId="0BC321AF" w:rsidR="00911597" w:rsidRPr="006E3CAB" w:rsidRDefault="00911597" w:rsidP="00D368C9">
      <w:pPr>
        <w:pStyle w:val="Liste"/>
        <w:spacing w:before="100" w:beforeAutospacing="1" w:after="100" w:afterAutospacing="1"/>
        <w:contextualSpacing/>
        <w:jc w:val="both"/>
        <w:rPr>
          <w:rFonts w:asciiTheme="minorHAnsi" w:hAnsiTheme="minorHAnsi" w:cstheme="minorHAnsi"/>
          <w:bCs/>
          <w:sz w:val="22"/>
          <w:szCs w:val="22"/>
        </w:rPr>
      </w:pPr>
    </w:p>
    <w:p w14:paraId="57EFEF4B" w14:textId="001C41D9" w:rsidR="00911597" w:rsidRPr="006E3CAB" w:rsidRDefault="00911597" w:rsidP="00084004">
      <w:pPr>
        <w:pStyle w:val="Liste"/>
        <w:numPr>
          <w:ilvl w:val="0"/>
          <w:numId w:val="21"/>
        </w:numPr>
        <w:spacing w:before="100" w:beforeAutospacing="1" w:after="100" w:afterAutospacing="1"/>
        <w:contextualSpacing/>
        <w:jc w:val="both"/>
        <w:rPr>
          <w:rFonts w:asciiTheme="minorHAnsi" w:hAnsiTheme="minorHAnsi" w:cstheme="minorHAnsi"/>
          <w:b/>
          <w:sz w:val="22"/>
          <w:szCs w:val="22"/>
          <w:u w:val="single"/>
        </w:rPr>
      </w:pPr>
      <w:r w:rsidRPr="006E3CAB">
        <w:rPr>
          <w:rFonts w:asciiTheme="minorHAnsi" w:hAnsiTheme="minorHAnsi" w:cstheme="minorHAnsi"/>
          <w:b/>
          <w:sz w:val="22"/>
          <w:szCs w:val="22"/>
          <w:u w:val="single"/>
        </w:rPr>
        <w:t>Action en cessation « harcèlement moral »</w:t>
      </w:r>
    </w:p>
    <w:p w14:paraId="27339E16" w14:textId="77777777" w:rsidR="00911597" w:rsidRPr="006E3CAB" w:rsidRDefault="00911597" w:rsidP="00D368C9">
      <w:pPr>
        <w:pStyle w:val="Liste"/>
        <w:spacing w:before="100" w:beforeAutospacing="1" w:after="100" w:afterAutospacing="1"/>
        <w:contextualSpacing/>
        <w:jc w:val="both"/>
        <w:rPr>
          <w:rFonts w:asciiTheme="minorHAnsi" w:hAnsiTheme="minorHAnsi" w:cstheme="minorHAnsi"/>
          <w:bCs/>
          <w:sz w:val="22"/>
          <w:szCs w:val="22"/>
        </w:rPr>
      </w:pPr>
    </w:p>
    <w:p w14:paraId="5A324682" w14:textId="5472B106" w:rsidR="00086AB4" w:rsidRPr="006E3CAB" w:rsidRDefault="007B22E0"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Monsieur </w:t>
      </w:r>
      <w:r w:rsidR="00AC7907">
        <w:rPr>
          <w:rFonts w:asciiTheme="minorHAnsi" w:hAnsiTheme="minorHAnsi" w:cstheme="minorHAnsi"/>
          <w:bCs/>
          <w:sz w:val="22"/>
          <w:szCs w:val="22"/>
        </w:rPr>
        <w:t>P</w:t>
      </w:r>
      <w:r w:rsidRPr="006E3CAB">
        <w:rPr>
          <w:rFonts w:asciiTheme="minorHAnsi" w:hAnsiTheme="minorHAnsi" w:cstheme="minorHAnsi"/>
          <w:bCs/>
          <w:sz w:val="22"/>
          <w:szCs w:val="22"/>
        </w:rPr>
        <w:t xml:space="preserve"> sollicite du tribunal </w:t>
      </w:r>
      <w:r w:rsidR="00086AB4" w:rsidRPr="006E3CAB">
        <w:rPr>
          <w:rFonts w:asciiTheme="minorHAnsi" w:hAnsiTheme="minorHAnsi" w:cstheme="minorHAnsi"/>
          <w:bCs/>
          <w:sz w:val="22"/>
          <w:szCs w:val="22"/>
        </w:rPr>
        <w:t xml:space="preserve">de constater l’existence de faits de harcèlement moral au sens de l’article 32 </w:t>
      </w:r>
      <w:r w:rsidR="00086AB4" w:rsidRPr="00084004">
        <w:rPr>
          <w:rFonts w:asciiTheme="minorHAnsi" w:hAnsiTheme="minorHAnsi" w:cstheme="minorHAnsi"/>
          <w:bCs/>
          <w:i/>
          <w:iCs/>
          <w:sz w:val="22"/>
          <w:szCs w:val="22"/>
        </w:rPr>
        <w:t xml:space="preserve">ter </w:t>
      </w:r>
      <w:r w:rsidR="00086AB4" w:rsidRPr="006E3CAB">
        <w:rPr>
          <w:rFonts w:asciiTheme="minorHAnsi" w:hAnsiTheme="minorHAnsi" w:cstheme="minorHAnsi"/>
          <w:bCs/>
          <w:sz w:val="22"/>
          <w:szCs w:val="22"/>
        </w:rPr>
        <w:t>de la loi du 4 août 1996</w:t>
      </w:r>
      <w:r w:rsidRPr="006E3CAB">
        <w:rPr>
          <w:rFonts w:asciiTheme="minorHAnsi" w:hAnsiTheme="minorHAnsi" w:cstheme="minorHAnsi"/>
          <w:bCs/>
          <w:sz w:val="22"/>
          <w:szCs w:val="22"/>
        </w:rPr>
        <w:t>.</w:t>
      </w:r>
    </w:p>
    <w:p w14:paraId="1FA13AA4" w14:textId="6FFD0939" w:rsidR="00DC42C3" w:rsidRPr="006E3CAB" w:rsidRDefault="00084004" w:rsidP="00D368C9">
      <w:pPr>
        <w:pStyle w:val="Corpsdetexte"/>
        <w:tabs>
          <w:tab w:val="right" w:pos="7088"/>
        </w:tabs>
        <w:spacing w:before="100" w:beforeAutospacing="1" w:after="100" w:afterAutospacing="1"/>
        <w:contextualSpacing/>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B.1. </w:t>
      </w:r>
      <w:r w:rsidR="00DC42C3" w:rsidRPr="006E3CAB">
        <w:rPr>
          <w:rFonts w:asciiTheme="minorHAnsi" w:hAnsiTheme="minorHAnsi" w:cstheme="minorHAnsi"/>
          <w:b/>
          <w:bCs/>
          <w:sz w:val="22"/>
          <w:szCs w:val="22"/>
          <w:u w:val="single"/>
        </w:rPr>
        <w:t>Notion de harcèlement moral au travail</w:t>
      </w:r>
      <w:r w:rsidR="00B64AB4">
        <w:rPr>
          <w:rFonts w:asciiTheme="minorHAnsi" w:hAnsiTheme="minorHAnsi" w:cstheme="minorHAnsi"/>
          <w:b/>
          <w:bCs/>
          <w:sz w:val="22"/>
          <w:szCs w:val="22"/>
          <w:u w:val="single"/>
        </w:rPr>
        <w:t> : en droit</w:t>
      </w:r>
    </w:p>
    <w:p w14:paraId="07535CCE" w14:textId="77777777" w:rsidR="00DC42C3" w:rsidRDefault="00DC42C3" w:rsidP="00D368C9">
      <w:pPr>
        <w:pStyle w:val="Corpsdetexte"/>
        <w:tabs>
          <w:tab w:val="right" w:pos="7088"/>
        </w:tabs>
        <w:spacing w:before="100" w:beforeAutospacing="1" w:after="100" w:afterAutospacing="1"/>
        <w:contextualSpacing/>
        <w:rPr>
          <w:rFonts w:asciiTheme="minorHAnsi" w:hAnsiTheme="minorHAnsi" w:cstheme="minorHAnsi"/>
          <w:sz w:val="22"/>
          <w:szCs w:val="22"/>
        </w:rPr>
      </w:pPr>
    </w:p>
    <w:p w14:paraId="26CA7FFF" w14:textId="1DAC1992" w:rsidR="008B2B5B" w:rsidRPr="008B2B5B" w:rsidRDefault="008B2B5B" w:rsidP="008B2B5B">
      <w:pPr>
        <w:pStyle w:val="Corpsdetexte"/>
        <w:numPr>
          <w:ilvl w:val="0"/>
          <w:numId w:val="29"/>
        </w:numPr>
        <w:tabs>
          <w:tab w:val="right" w:pos="7088"/>
        </w:tabs>
        <w:spacing w:before="100" w:beforeAutospacing="1" w:after="100" w:afterAutospacing="1"/>
        <w:contextualSpacing/>
        <w:rPr>
          <w:rFonts w:asciiTheme="minorHAnsi" w:hAnsiTheme="minorHAnsi" w:cstheme="minorHAnsi"/>
          <w:sz w:val="22"/>
          <w:szCs w:val="22"/>
          <w:u w:val="single"/>
        </w:rPr>
      </w:pPr>
      <w:r w:rsidRPr="008B2B5B">
        <w:rPr>
          <w:rFonts w:asciiTheme="minorHAnsi" w:hAnsiTheme="minorHAnsi" w:cstheme="minorHAnsi"/>
          <w:sz w:val="22"/>
          <w:szCs w:val="22"/>
          <w:u w:val="single"/>
        </w:rPr>
        <w:t>La loi du 4 août 1996 relative au bien-être sur les lieux de travail définit le harcèlement moral au travail</w:t>
      </w:r>
    </w:p>
    <w:p w14:paraId="62868745" w14:textId="26E05701" w:rsidR="00A65AF8" w:rsidRPr="00A65AF8" w:rsidRDefault="00A65AF8" w:rsidP="00A65AF8">
      <w:pPr>
        <w:tabs>
          <w:tab w:val="right" w:pos="7088"/>
          <w:tab w:val="left" w:pos="7788"/>
          <w:tab w:val="left" w:pos="8496"/>
          <w:tab w:val="left" w:pos="9132"/>
        </w:tabs>
        <w:suppressAutoHyphens/>
        <w:spacing w:before="100" w:beforeAutospacing="1" w:after="100" w:afterAutospacing="1" w:line="240" w:lineRule="auto"/>
        <w:contextualSpacing/>
        <w:jc w:val="both"/>
        <w:rPr>
          <w:rFonts w:ascii="Calibri" w:eastAsia="Cambria" w:hAnsi="Calibri" w:cs="Calibri"/>
          <w:iCs/>
          <w:color w:val="000000"/>
          <w:spacing w:val="-3"/>
          <w:u w:color="000000"/>
          <w:lang w:val="fr-FR" w:eastAsia="fr-FR"/>
        </w:rPr>
      </w:pPr>
      <w:r w:rsidRPr="00A65AF8">
        <w:rPr>
          <w:rFonts w:ascii="Calibri" w:eastAsia="Cambria" w:hAnsi="Calibri" w:cs="Calibri"/>
          <w:iCs/>
          <w:color w:val="000000"/>
          <w:spacing w:val="-3"/>
          <w:u w:color="000000"/>
          <w:lang w:val="fr-FR" w:eastAsia="fr-FR"/>
        </w:rPr>
        <w:t>L’article 32</w:t>
      </w:r>
      <w:r w:rsidRPr="00A65AF8">
        <w:rPr>
          <w:rFonts w:ascii="Calibri" w:eastAsia="Cambria" w:hAnsi="Calibri" w:cs="Calibri"/>
          <w:i/>
          <w:iCs/>
          <w:color w:val="000000"/>
          <w:spacing w:val="-3"/>
          <w:u w:color="000000"/>
          <w:lang w:val="fr-FR" w:eastAsia="fr-FR"/>
        </w:rPr>
        <w:t xml:space="preserve"> ter</w:t>
      </w:r>
      <w:r w:rsidRPr="00A65AF8">
        <w:rPr>
          <w:rFonts w:ascii="Calibri" w:eastAsia="Cambria" w:hAnsi="Calibri" w:cs="Calibri"/>
          <w:iCs/>
          <w:color w:val="000000"/>
          <w:spacing w:val="-3"/>
          <w:u w:color="000000"/>
          <w:lang w:val="fr-FR" w:eastAsia="fr-FR"/>
        </w:rPr>
        <w:t xml:space="preserve"> de la loi du 4 août 1996 </w:t>
      </w:r>
      <w:r w:rsidR="008B2B5B">
        <w:rPr>
          <w:rFonts w:ascii="Calibri" w:eastAsia="Cambria" w:hAnsi="Calibri" w:cs="Calibri"/>
          <w:iCs/>
          <w:color w:val="000000"/>
          <w:spacing w:val="-3"/>
          <w:u w:color="000000"/>
          <w:lang w:val="fr-FR" w:eastAsia="fr-FR"/>
        </w:rPr>
        <w:t xml:space="preserve">définit le harcèlement </w:t>
      </w:r>
      <w:r w:rsidRPr="00A65AF8">
        <w:rPr>
          <w:rFonts w:ascii="Calibri" w:eastAsia="Cambria" w:hAnsi="Calibri" w:cs="Calibri"/>
          <w:iCs/>
          <w:color w:val="000000"/>
          <w:spacing w:val="-3"/>
          <w:u w:color="000000"/>
          <w:lang w:val="fr-FR" w:eastAsia="fr-FR"/>
        </w:rPr>
        <w:t xml:space="preserve">comme </w:t>
      </w:r>
      <w:r w:rsidR="008B2B5B">
        <w:rPr>
          <w:rFonts w:ascii="Calibri" w:eastAsia="Cambria" w:hAnsi="Calibri" w:cs="Calibri"/>
          <w:iCs/>
          <w:color w:val="000000"/>
          <w:spacing w:val="-3"/>
          <w:u w:color="000000"/>
          <w:lang w:val="fr-FR" w:eastAsia="fr-FR"/>
        </w:rPr>
        <w:t xml:space="preserve">suit </w:t>
      </w:r>
      <w:r w:rsidRPr="00A65AF8">
        <w:rPr>
          <w:rFonts w:ascii="Calibri" w:eastAsia="Cambria" w:hAnsi="Calibri" w:cs="Calibri"/>
          <w:iCs/>
          <w:color w:val="000000"/>
          <w:spacing w:val="-3"/>
          <w:u w:color="000000"/>
          <w:lang w:val="fr-FR" w:eastAsia="fr-FR"/>
        </w:rPr>
        <w:t>:</w:t>
      </w:r>
    </w:p>
    <w:p w14:paraId="5E0040B3" w14:textId="77777777" w:rsidR="00A65AF8" w:rsidRPr="00A65AF8" w:rsidRDefault="00A65AF8" w:rsidP="00A65AF8">
      <w:pPr>
        <w:tabs>
          <w:tab w:val="right" w:pos="7088"/>
          <w:tab w:val="left" w:pos="7788"/>
          <w:tab w:val="left" w:pos="8496"/>
          <w:tab w:val="left" w:pos="9132"/>
        </w:tabs>
        <w:suppressAutoHyphens/>
        <w:spacing w:before="100" w:beforeAutospacing="1" w:after="100" w:afterAutospacing="1" w:line="240" w:lineRule="auto"/>
        <w:contextualSpacing/>
        <w:jc w:val="both"/>
        <w:rPr>
          <w:rFonts w:ascii="Calibri" w:eastAsia="Cambria" w:hAnsi="Calibri" w:cs="Calibri"/>
          <w:i/>
          <w:iCs/>
          <w:color w:val="000000"/>
          <w:spacing w:val="-3"/>
          <w:u w:color="000000"/>
          <w:lang w:val="fr-FR" w:eastAsia="fr-FR"/>
        </w:rPr>
      </w:pPr>
    </w:p>
    <w:p w14:paraId="4ABEFCAD" w14:textId="77777777" w:rsidR="00A65AF8" w:rsidRPr="00A65AF8" w:rsidRDefault="00A65AF8" w:rsidP="00A65AF8">
      <w:pPr>
        <w:widowControl w:val="0"/>
        <w:tabs>
          <w:tab w:val="left" w:pos="164"/>
          <w:tab w:val="left" w:pos="426"/>
          <w:tab w:val="right" w:pos="7088"/>
          <w:tab w:val="left" w:pos="7788"/>
          <w:tab w:val="left" w:pos="8496"/>
          <w:tab w:val="left" w:pos="9132"/>
        </w:tabs>
        <w:suppressAutoHyphens/>
        <w:autoSpaceDN w:val="0"/>
        <w:spacing w:before="100" w:beforeAutospacing="1" w:after="100" w:afterAutospacing="1" w:line="240" w:lineRule="auto"/>
        <w:ind w:left="567"/>
        <w:contextualSpacing/>
        <w:jc w:val="both"/>
        <w:textAlignment w:val="baseline"/>
        <w:rPr>
          <w:rFonts w:ascii="Calibri" w:eastAsia="Cambria" w:hAnsi="Calibri" w:cs="Calibri"/>
          <w:i/>
          <w:iCs/>
          <w:kern w:val="3"/>
          <w:lang w:val="fr-FR" w:eastAsia="fr-BE"/>
        </w:rPr>
      </w:pPr>
      <w:r w:rsidRPr="00A65AF8">
        <w:rPr>
          <w:rFonts w:ascii="Calibri" w:eastAsia="Cambria" w:hAnsi="Calibri" w:cs="Calibri"/>
          <w:i/>
          <w:iCs/>
          <w:kern w:val="3"/>
          <w:lang w:val="fr-FR" w:eastAsia="fr-BE"/>
        </w:rPr>
        <w:t xml:space="preserve">« 2° harcèlement moral au travail : </w:t>
      </w:r>
      <w:r w:rsidRPr="00A65AF8">
        <w:rPr>
          <w:rFonts w:ascii="Calibri" w:eastAsia="Cambria" w:hAnsi="Calibri" w:cs="Calibri"/>
          <w:b/>
          <w:bCs/>
          <w:i/>
          <w:iCs/>
          <w:kern w:val="3"/>
          <w:lang w:val="fr-FR" w:eastAsia="fr-BE"/>
        </w:rPr>
        <w:t>ensemble abusif de plusieurs conduites similaires ou différentes,</w:t>
      </w:r>
      <w:r w:rsidRPr="00A65AF8">
        <w:rPr>
          <w:rFonts w:ascii="Calibri" w:eastAsia="Cambria" w:hAnsi="Calibri" w:cs="Calibri"/>
          <w:i/>
          <w:iCs/>
          <w:kern w:val="3"/>
          <w:lang w:val="fr-FR" w:eastAsia="fr-BE"/>
        </w:rPr>
        <w:t xml:space="preserve"> externes ou internes à l'entreprise ou l'institution, qui se produisent pendant un certain temps, </w:t>
      </w:r>
      <w:r w:rsidRPr="00A65AF8">
        <w:rPr>
          <w:rFonts w:ascii="Calibri" w:eastAsia="Cambria" w:hAnsi="Calibri" w:cs="Calibri"/>
          <w:b/>
          <w:bCs/>
          <w:i/>
          <w:iCs/>
          <w:kern w:val="3"/>
          <w:lang w:val="fr-FR" w:eastAsia="fr-BE"/>
        </w:rPr>
        <w:t>qui ont pour objet ou pour effet de porter atteinte à la personnalité, la dignité</w:t>
      </w:r>
      <w:r w:rsidRPr="00A65AF8">
        <w:rPr>
          <w:rFonts w:ascii="Calibri" w:eastAsia="Cambria" w:hAnsi="Calibri" w:cs="Calibri"/>
          <w:i/>
          <w:iCs/>
          <w:kern w:val="3"/>
          <w:lang w:val="fr-FR" w:eastAsia="fr-BE"/>
        </w:rPr>
        <w:t xml:space="preserve"> ou l'intégrité physique ou psychique </w:t>
      </w:r>
      <w:r w:rsidRPr="00A65AF8">
        <w:rPr>
          <w:rFonts w:ascii="Calibri" w:eastAsia="Cambria" w:hAnsi="Calibri" w:cs="Calibri"/>
          <w:b/>
          <w:bCs/>
          <w:i/>
          <w:iCs/>
          <w:kern w:val="3"/>
          <w:lang w:val="fr-FR" w:eastAsia="fr-BE"/>
        </w:rPr>
        <w:t>d'un travailleur</w:t>
      </w:r>
      <w:r w:rsidRPr="00A65AF8">
        <w:rPr>
          <w:rFonts w:ascii="Calibri" w:eastAsia="Cambria" w:hAnsi="Calibri" w:cs="Calibri"/>
          <w:i/>
          <w:iCs/>
          <w:kern w:val="3"/>
          <w:lang w:val="fr-FR" w:eastAsia="fr-BE"/>
        </w:rPr>
        <w:t xml:space="preserve"> ou d'une autre personne à laquelle la présente section est d'application, </w:t>
      </w:r>
      <w:r w:rsidRPr="00A65AF8">
        <w:rPr>
          <w:rFonts w:ascii="Calibri" w:eastAsia="Cambria" w:hAnsi="Calibri" w:cs="Calibri"/>
          <w:b/>
          <w:bCs/>
          <w:i/>
          <w:iCs/>
          <w:kern w:val="3"/>
          <w:lang w:val="fr-FR" w:eastAsia="fr-BE"/>
        </w:rPr>
        <w:t>lors de l'exécution de son travail</w:t>
      </w:r>
      <w:r w:rsidRPr="00A65AF8">
        <w:rPr>
          <w:rFonts w:ascii="Calibri" w:eastAsia="Cambria" w:hAnsi="Calibri" w:cs="Calibri"/>
          <w:i/>
          <w:iCs/>
          <w:kern w:val="3"/>
          <w:lang w:val="fr-FR" w:eastAsia="fr-BE"/>
        </w:rPr>
        <w:t xml:space="preserve">, de mettre en péril son emploi ou </w:t>
      </w:r>
      <w:r w:rsidRPr="00A65AF8">
        <w:rPr>
          <w:rFonts w:ascii="Calibri" w:eastAsia="Cambria" w:hAnsi="Calibri" w:cs="Calibri"/>
          <w:b/>
          <w:bCs/>
          <w:i/>
          <w:iCs/>
          <w:kern w:val="3"/>
          <w:lang w:val="fr-FR" w:eastAsia="fr-BE"/>
        </w:rPr>
        <w:t>de créer un environnement intimidant, hostile, dégradant, humiliant ou offensant</w:t>
      </w:r>
      <w:r w:rsidRPr="00A65AF8">
        <w:rPr>
          <w:rFonts w:ascii="Calibri" w:eastAsia="Cambria" w:hAnsi="Calibri" w:cs="Calibri"/>
          <w:i/>
          <w:iCs/>
          <w:kern w:val="3"/>
          <w:lang w:val="fr-FR" w:eastAsia="fr-BE"/>
        </w:rPr>
        <w:t xml:space="preserve"> et qui se manifestent notamment par des paroles, des intimidations, des actes, des gestes ou des écrits unilatéraux. </w:t>
      </w:r>
    </w:p>
    <w:p w14:paraId="1BF05709" w14:textId="77777777" w:rsidR="00A65AF8" w:rsidRPr="00A65AF8" w:rsidRDefault="00A65AF8" w:rsidP="00A65AF8">
      <w:pPr>
        <w:widowControl w:val="0"/>
        <w:tabs>
          <w:tab w:val="left" w:pos="164"/>
          <w:tab w:val="left" w:pos="426"/>
          <w:tab w:val="right" w:pos="7088"/>
          <w:tab w:val="left" w:pos="7788"/>
          <w:tab w:val="left" w:pos="8496"/>
          <w:tab w:val="left" w:pos="9132"/>
        </w:tabs>
        <w:suppressAutoHyphens/>
        <w:autoSpaceDN w:val="0"/>
        <w:spacing w:before="100" w:beforeAutospacing="1" w:after="100" w:afterAutospacing="1" w:line="240" w:lineRule="auto"/>
        <w:ind w:left="567"/>
        <w:contextualSpacing/>
        <w:jc w:val="both"/>
        <w:textAlignment w:val="baseline"/>
        <w:rPr>
          <w:rFonts w:ascii="Calibri" w:eastAsia="Cambria" w:hAnsi="Calibri" w:cs="Calibri"/>
          <w:i/>
          <w:iCs/>
          <w:kern w:val="3"/>
          <w:lang w:val="fr-FR" w:eastAsia="fr-BE"/>
        </w:rPr>
      </w:pPr>
      <w:r w:rsidRPr="00A65AF8">
        <w:rPr>
          <w:rFonts w:ascii="Calibri" w:eastAsia="Cambria" w:hAnsi="Calibri" w:cs="Calibri"/>
          <w:i/>
          <w:iCs/>
          <w:kern w:val="3"/>
          <w:lang w:val="fr-FR" w:eastAsia="fr-BE"/>
        </w:rPr>
        <w:t>Ces conduites peuvent notamment être liées à l'âge, à l'état civil, à la naissance, à la fortune, à la conviction religieuse ou philosophique, à la conviction politique, à la conviction syndicale, à la langue, à l'état de santé actuel ou futur, à un handicap, à une caractéristique physique ou génétique, à l'origine sociale, à la nationalité, à une prétendue race, à la couleur de peau, à l'ascendance, à l'origine nationale ou ethnique, au sexe, à l'orientation sexuelle, à l'identité et à l'expression de genre ».</w:t>
      </w:r>
    </w:p>
    <w:p w14:paraId="6E47B41B" w14:textId="77777777" w:rsidR="00A65AF8" w:rsidRPr="00A65AF8" w:rsidRDefault="00A65AF8" w:rsidP="00A65AF8">
      <w:pPr>
        <w:spacing w:before="100" w:beforeAutospacing="1" w:after="100" w:afterAutospacing="1" w:line="240" w:lineRule="auto"/>
        <w:contextualSpacing/>
        <w:jc w:val="both"/>
        <w:rPr>
          <w:rFonts w:ascii="Calibri" w:eastAsia="Helvetica" w:hAnsi="Calibri" w:cs="Calibri"/>
          <w:color w:val="000000"/>
          <w:u w:color="000000"/>
          <w:lang w:val="fr-FR" w:eastAsia="fr-FR"/>
        </w:rPr>
      </w:pPr>
    </w:p>
    <w:p w14:paraId="4FD566B8" w14:textId="77777777" w:rsidR="00A65AF8" w:rsidRDefault="00A65AF8" w:rsidP="00A65AF8">
      <w:pPr>
        <w:spacing w:before="100" w:beforeAutospacing="1" w:after="100" w:afterAutospacing="1" w:line="240" w:lineRule="auto"/>
        <w:contextualSpacing/>
        <w:jc w:val="both"/>
        <w:rPr>
          <w:rFonts w:ascii="Calibri" w:eastAsia="Cambria" w:hAnsi="Calibri" w:cs="Calibri"/>
          <w:color w:val="000000"/>
          <w:u w:color="000000"/>
          <w:lang w:val="fr-FR" w:eastAsia="fr-FR"/>
        </w:rPr>
      </w:pPr>
      <w:r w:rsidRPr="00A65AF8">
        <w:rPr>
          <w:rFonts w:ascii="Calibri" w:eastAsia="Cambria" w:hAnsi="Calibri" w:cs="Calibri"/>
          <w:color w:val="000000"/>
          <w:u w:color="000000"/>
          <w:lang w:val="fr-FR" w:eastAsia="fr-FR"/>
        </w:rPr>
        <w:t xml:space="preserve">La définition donnée au harcèlement implique que les conduites reprochées soient </w:t>
      </w:r>
      <w:proofErr w:type="spellStart"/>
      <w:r w:rsidRPr="00A65AF8">
        <w:rPr>
          <w:rFonts w:ascii="Calibri" w:eastAsia="Cambria" w:hAnsi="Calibri" w:cs="Calibri"/>
          <w:color w:val="000000"/>
          <w:u w:color="000000"/>
          <w:lang w:val="fr-FR" w:eastAsia="fr-FR"/>
        </w:rPr>
        <w:t>répétées</w:t>
      </w:r>
      <w:proofErr w:type="spellEnd"/>
      <w:r w:rsidRPr="00A65AF8">
        <w:rPr>
          <w:rFonts w:ascii="Calibri" w:eastAsia="Cambria" w:hAnsi="Calibri" w:cs="Calibri"/>
          <w:color w:val="000000"/>
          <w:u w:color="000000"/>
          <w:lang w:val="fr-FR" w:eastAsia="fr-FR"/>
        </w:rPr>
        <w:t xml:space="preserve"> et constituent un ensemble abusif.</w:t>
      </w:r>
    </w:p>
    <w:p w14:paraId="2B943E50" w14:textId="73C186C4" w:rsidR="00DC42C3" w:rsidRPr="006E3CAB" w:rsidRDefault="00DC42C3"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L’article 32 </w:t>
      </w:r>
      <w:r w:rsidRPr="00005568">
        <w:rPr>
          <w:rFonts w:asciiTheme="minorHAnsi" w:hAnsiTheme="minorHAnsi" w:cstheme="minorHAnsi"/>
          <w:bCs/>
          <w:i/>
          <w:iCs/>
          <w:sz w:val="22"/>
          <w:szCs w:val="22"/>
        </w:rPr>
        <w:t>decies</w:t>
      </w:r>
      <w:r w:rsidRPr="006E3CAB">
        <w:rPr>
          <w:rFonts w:asciiTheme="minorHAnsi" w:hAnsiTheme="minorHAnsi" w:cstheme="minorHAnsi"/>
          <w:bCs/>
          <w:sz w:val="22"/>
          <w:szCs w:val="22"/>
        </w:rPr>
        <w:t xml:space="preserve"> § 2 de la loi énonce que : </w:t>
      </w:r>
    </w:p>
    <w:p w14:paraId="71275C86" w14:textId="77777777" w:rsidR="00DC42C3" w:rsidRPr="006E3CAB" w:rsidRDefault="00DC42C3"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2270D2F9" w14:textId="0135ABA5" w:rsidR="00DC42C3" w:rsidRPr="006E3CAB" w:rsidRDefault="00DC42C3" w:rsidP="00D368C9">
      <w:pPr>
        <w:pStyle w:val="Liste"/>
        <w:spacing w:before="100" w:beforeAutospacing="1" w:after="100" w:afterAutospacing="1"/>
        <w:ind w:left="0" w:firstLine="0"/>
        <w:contextualSpacing/>
        <w:jc w:val="both"/>
        <w:rPr>
          <w:rFonts w:asciiTheme="minorHAnsi" w:hAnsiTheme="minorHAnsi" w:cstheme="minorHAnsi"/>
          <w:bCs/>
          <w:i/>
          <w:sz w:val="22"/>
          <w:szCs w:val="22"/>
        </w:rPr>
      </w:pPr>
      <w:r w:rsidRPr="006E3CAB">
        <w:rPr>
          <w:rFonts w:asciiTheme="minorHAnsi" w:hAnsiTheme="minorHAnsi" w:cstheme="minorHAnsi"/>
          <w:bCs/>
          <w:i/>
          <w:sz w:val="22"/>
          <w:szCs w:val="22"/>
        </w:rPr>
        <w:t xml:space="preserve">«   § 2. A la demande de la personne qui déclare être l'objet de violence ou de harcèlement moral ou sexuel au travail ou des organisations et institutions visées à l'article 32duodecies, </w:t>
      </w:r>
      <w:r w:rsidRPr="00BA1BE6">
        <w:rPr>
          <w:rFonts w:asciiTheme="minorHAnsi" w:hAnsiTheme="minorHAnsi" w:cstheme="minorHAnsi"/>
          <w:b/>
          <w:i/>
          <w:sz w:val="22"/>
          <w:szCs w:val="22"/>
        </w:rPr>
        <w:t>le président du tribunal du travail</w:t>
      </w:r>
      <w:r w:rsidRPr="006E3CAB">
        <w:rPr>
          <w:rFonts w:asciiTheme="minorHAnsi" w:hAnsiTheme="minorHAnsi" w:cstheme="minorHAnsi"/>
          <w:bCs/>
          <w:i/>
          <w:sz w:val="22"/>
          <w:szCs w:val="22"/>
        </w:rPr>
        <w:t xml:space="preserve"> </w:t>
      </w:r>
      <w:r w:rsidRPr="00BA1BE6">
        <w:rPr>
          <w:rFonts w:asciiTheme="minorHAnsi" w:hAnsiTheme="minorHAnsi" w:cstheme="minorHAnsi"/>
          <w:b/>
          <w:i/>
          <w:sz w:val="22"/>
          <w:szCs w:val="22"/>
        </w:rPr>
        <w:t>constate l'existence de ces faits et en ordonne la cessation</w:t>
      </w:r>
      <w:r w:rsidRPr="006E3CAB">
        <w:rPr>
          <w:rFonts w:asciiTheme="minorHAnsi" w:hAnsiTheme="minorHAnsi" w:cstheme="minorHAnsi"/>
          <w:bCs/>
          <w:i/>
          <w:sz w:val="22"/>
          <w:szCs w:val="22"/>
        </w:rPr>
        <w:t xml:space="preserve"> à l'auteur dans le délai qu'il fixe, même si ces faits sont pénalement réprimés.</w:t>
      </w:r>
    </w:p>
    <w:p w14:paraId="159CA425" w14:textId="2E1DBF14" w:rsidR="00DC42C3" w:rsidRPr="006E3CAB" w:rsidRDefault="00DC42C3" w:rsidP="00D368C9">
      <w:pPr>
        <w:pStyle w:val="Liste"/>
        <w:spacing w:before="100" w:beforeAutospacing="1" w:after="100" w:afterAutospacing="1"/>
        <w:ind w:left="0" w:firstLine="0"/>
        <w:contextualSpacing/>
        <w:jc w:val="both"/>
        <w:rPr>
          <w:rFonts w:asciiTheme="minorHAnsi" w:hAnsiTheme="minorHAnsi" w:cstheme="minorHAnsi"/>
          <w:bCs/>
          <w:i/>
          <w:sz w:val="22"/>
          <w:szCs w:val="22"/>
        </w:rPr>
      </w:pPr>
      <w:r w:rsidRPr="006E3CAB">
        <w:rPr>
          <w:rFonts w:asciiTheme="minorHAnsi" w:hAnsiTheme="minorHAnsi" w:cstheme="minorHAnsi"/>
          <w:bCs/>
          <w:i/>
          <w:sz w:val="22"/>
          <w:szCs w:val="22"/>
        </w:rPr>
        <w:t>  L'action visée à l'alinéa 1er est introduite par requête contradictoire et instruite selon les formes du référé».</w:t>
      </w:r>
    </w:p>
    <w:p w14:paraId="3551EDE4" w14:textId="77777777" w:rsidR="00DC42C3" w:rsidRPr="006E3CAB" w:rsidRDefault="00DC42C3" w:rsidP="00D368C9">
      <w:pPr>
        <w:pStyle w:val="Liste"/>
        <w:spacing w:before="100" w:beforeAutospacing="1" w:after="100" w:afterAutospacing="1"/>
        <w:ind w:left="0" w:firstLine="0"/>
        <w:contextualSpacing/>
        <w:jc w:val="both"/>
        <w:rPr>
          <w:rFonts w:asciiTheme="minorHAnsi" w:hAnsiTheme="minorHAnsi" w:cstheme="minorHAnsi"/>
          <w:bCs/>
          <w:i/>
          <w:sz w:val="22"/>
          <w:szCs w:val="22"/>
        </w:rPr>
      </w:pPr>
    </w:p>
    <w:p w14:paraId="2320247D" w14:textId="6F42C671" w:rsidR="00DC42C3" w:rsidRPr="006E3CAB" w:rsidRDefault="00DC42C3"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L’article 32</w:t>
      </w:r>
      <w:r w:rsidRPr="0077676D">
        <w:rPr>
          <w:rFonts w:asciiTheme="minorHAnsi" w:hAnsiTheme="minorHAnsi" w:cstheme="minorHAnsi"/>
          <w:bCs/>
          <w:i/>
          <w:iCs/>
          <w:sz w:val="22"/>
          <w:szCs w:val="22"/>
        </w:rPr>
        <w:t xml:space="preserve"> undecies</w:t>
      </w:r>
      <w:r w:rsidRPr="006E3CAB">
        <w:rPr>
          <w:rFonts w:asciiTheme="minorHAnsi" w:hAnsiTheme="minorHAnsi" w:cstheme="minorHAnsi"/>
          <w:bCs/>
          <w:sz w:val="22"/>
          <w:szCs w:val="22"/>
        </w:rPr>
        <w:t xml:space="preserve"> de la même loi </w:t>
      </w:r>
      <w:r w:rsidR="0010121C">
        <w:rPr>
          <w:rFonts w:asciiTheme="minorHAnsi" w:hAnsiTheme="minorHAnsi" w:cstheme="minorHAnsi"/>
          <w:bCs/>
          <w:sz w:val="22"/>
          <w:szCs w:val="22"/>
        </w:rPr>
        <w:t>arrête la charge de la preuve en ces termes</w:t>
      </w:r>
      <w:r w:rsidRPr="006E3CAB">
        <w:rPr>
          <w:rFonts w:asciiTheme="minorHAnsi" w:hAnsiTheme="minorHAnsi" w:cstheme="minorHAnsi"/>
          <w:bCs/>
          <w:sz w:val="22"/>
          <w:szCs w:val="22"/>
        </w:rPr>
        <w:t xml:space="preserve"> : </w:t>
      </w:r>
    </w:p>
    <w:p w14:paraId="23248F07" w14:textId="77777777" w:rsidR="00DC42C3" w:rsidRPr="006E3CAB" w:rsidRDefault="00DC42C3" w:rsidP="0010121C">
      <w:pPr>
        <w:pStyle w:val="Liste"/>
        <w:spacing w:before="100" w:beforeAutospacing="1" w:after="100" w:afterAutospacing="1"/>
        <w:ind w:left="567" w:firstLine="0"/>
        <w:contextualSpacing/>
        <w:jc w:val="both"/>
        <w:rPr>
          <w:rFonts w:asciiTheme="minorHAnsi" w:hAnsiTheme="minorHAnsi" w:cstheme="minorHAnsi"/>
          <w:bCs/>
          <w:i/>
          <w:sz w:val="22"/>
          <w:szCs w:val="22"/>
        </w:rPr>
      </w:pPr>
      <w:r w:rsidRPr="006E3CAB">
        <w:rPr>
          <w:rFonts w:asciiTheme="minorHAnsi" w:hAnsiTheme="minorHAnsi" w:cstheme="minorHAnsi"/>
          <w:bCs/>
          <w:i/>
          <w:sz w:val="22"/>
          <w:szCs w:val="22"/>
        </w:rPr>
        <w:t xml:space="preserve">« Lorsqu'une personne qui justifie d'un intérêt établit devant la juridiction compétente </w:t>
      </w:r>
      <w:r w:rsidRPr="0077676D">
        <w:rPr>
          <w:rFonts w:asciiTheme="minorHAnsi" w:hAnsiTheme="minorHAnsi" w:cstheme="minorHAnsi"/>
          <w:b/>
          <w:i/>
          <w:sz w:val="22"/>
          <w:szCs w:val="22"/>
        </w:rPr>
        <w:t xml:space="preserve">des faits qui permettent de présumer l'existence </w:t>
      </w:r>
      <w:r w:rsidRPr="006E3CAB">
        <w:rPr>
          <w:rFonts w:asciiTheme="minorHAnsi" w:hAnsiTheme="minorHAnsi" w:cstheme="minorHAnsi"/>
          <w:bCs/>
          <w:i/>
          <w:sz w:val="22"/>
          <w:szCs w:val="22"/>
        </w:rPr>
        <w:t xml:space="preserve">de violence ou </w:t>
      </w:r>
      <w:r w:rsidRPr="0077676D">
        <w:rPr>
          <w:rFonts w:asciiTheme="minorHAnsi" w:hAnsiTheme="minorHAnsi" w:cstheme="minorHAnsi"/>
          <w:b/>
          <w:i/>
          <w:sz w:val="22"/>
          <w:szCs w:val="22"/>
        </w:rPr>
        <w:t>de harcèlement moral</w:t>
      </w:r>
      <w:r w:rsidRPr="006E3CAB">
        <w:rPr>
          <w:rFonts w:asciiTheme="minorHAnsi" w:hAnsiTheme="minorHAnsi" w:cstheme="minorHAnsi"/>
          <w:bCs/>
          <w:i/>
          <w:sz w:val="22"/>
          <w:szCs w:val="22"/>
        </w:rPr>
        <w:t xml:space="preserve"> ou sexuel au travail, la </w:t>
      </w:r>
      <w:r w:rsidRPr="0077676D">
        <w:rPr>
          <w:rFonts w:asciiTheme="minorHAnsi" w:hAnsiTheme="minorHAnsi" w:cstheme="minorHAnsi"/>
          <w:b/>
          <w:i/>
          <w:sz w:val="22"/>
          <w:szCs w:val="22"/>
        </w:rPr>
        <w:t>charge de la preuve qu'il n'y a pas eu de violence ou de harcèlement</w:t>
      </w:r>
      <w:r w:rsidRPr="006E3CAB">
        <w:rPr>
          <w:rFonts w:asciiTheme="minorHAnsi" w:hAnsiTheme="minorHAnsi" w:cstheme="minorHAnsi"/>
          <w:bCs/>
          <w:i/>
          <w:sz w:val="22"/>
          <w:szCs w:val="22"/>
        </w:rPr>
        <w:t xml:space="preserve"> moral ou sexuel au travail incombe </w:t>
      </w:r>
      <w:r w:rsidRPr="0077676D">
        <w:rPr>
          <w:rFonts w:asciiTheme="minorHAnsi" w:hAnsiTheme="minorHAnsi" w:cstheme="minorHAnsi"/>
          <w:b/>
          <w:i/>
          <w:sz w:val="22"/>
          <w:szCs w:val="22"/>
        </w:rPr>
        <w:t>à la partie défenderesse</w:t>
      </w:r>
      <w:r w:rsidRPr="006E3CAB">
        <w:rPr>
          <w:rFonts w:asciiTheme="minorHAnsi" w:hAnsiTheme="minorHAnsi" w:cstheme="minorHAnsi"/>
          <w:bCs/>
          <w:i/>
          <w:sz w:val="22"/>
          <w:szCs w:val="22"/>
        </w:rPr>
        <w:t>.</w:t>
      </w:r>
    </w:p>
    <w:p w14:paraId="4C8FBB2F" w14:textId="77777777" w:rsidR="00DC42C3" w:rsidRDefault="00DC42C3" w:rsidP="0010121C">
      <w:pPr>
        <w:pStyle w:val="Liste"/>
        <w:spacing w:before="100" w:beforeAutospacing="1" w:after="100" w:afterAutospacing="1"/>
        <w:ind w:left="567" w:firstLine="0"/>
        <w:contextualSpacing/>
        <w:jc w:val="both"/>
        <w:rPr>
          <w:rFonts w:asciiTheme="minorHAnsi" w:hAnsiTheme="minorHAnsi" w:cstheme="minorHAnsi"/>
          <w:bCs/>
          <w:i/>
          <w:sz w:val="22"/>
          <w:szCs w:val="22"/>
        </w:rPr>
      </w:pPr>
      <w:r w:rsidRPr="006E3CAB">
        <w:rPr>
          <w:rFonts w:asciiTheme="minorHAnsi" w:hAnsiTheme="minorHAnsi" w:cstheme="minorHAnsi"/>
          <w:bCs/>
          <w:i/>
          <w:sz w:val="22"/>
          <w:szCs w:val="22"/>
        </w:rPr>
        <w:t>  L'alinéa 1er ne s'applique pas aux procédures pénales et ne porte pas atteinte à d'autres dispositions légales plus favorables en matière de charge de la preuve ».</w:t>
      </w:r>
    </w:p>
    <w:p w14:paraId="550AD92F" w14:textId="77777777" w:rsidR="008B2B5B" w:rsidRPr="006E3CAB" w:rsidRDefault="008B2B5B" w:rsidP="0010121C">
      <w:pPr>
        <w:pStyle w:val="Liste"/>
        <w:spacing w:before="100" w:beforeAutospacing="1" w:after="100" w:afterAutospacing="1"/>
        <w:ind w:left="567" w:firstLine="0"/>
        <w:contextualSpacing/>
        <w:jc w:val="both"/>
        <w:rPr>
          <w:rFonts w:asciiTheme="minorHAnsi" w:hAnsiTheme="minorHAnsi" w:cstheme="minorHAnsi"/>
          <w:bCs/>
          <w:i/>
          <w:sz w:val="22"/>
          <w:szCs w:val="22"/>
        </w:rPr>
      </w:pPr>
    </w:p>
    <w:p w14:paraId="6B690364" w14:textId="6F035168" w:rsidR="008A3E8A" w:rsidRPr="008B2B5B" w:rsidRDefault="008B2B5B" w:rsidP="008B2B5B">
      <w:pPr>
        <w:pStyle w:val="Corpsdetexte"/>
        <w:numPr>
          <w:ilvl w:val="0"/>
          <w:numId w:val="29"/>
        </w:numPr>
        <w:tabs>
          <w:tab w:val="right" w:pos="7088"/>
        </w:tabs>
        <w:spacing w:before="100" w:beforeAutospacing="1" w:after="100" w:afterAutospacing="1"/>
        <w:contextualSpacing/>
        <w:rPr>
          <w:rFonts w:asciiTheme="minorHAnsi" w:hAnsiTheme="minorHAnsi" w:cstheme="minorHAnsi"/>
          <w:sz w:val="22"/>
          <w:szCs w:val="22"/>
          <w:u w:val="single"/>
        </w:rPr>
      </w:pPr>
      <w:r w:rsidRPr="008B2B5B">
        <w:rPr>
          <w:rFonts w:asciiTheme="minorHAnsi" w:hAnsiTheme="minorHAnsi" w:cstheme="minorHAnsi"/>
          <w:sz w:val="22"/>
          <w:szCs w:val="22"/>
          <w:u w:val="single"/>
        </w:rPr>
        <w:t>Doctrine et jurisprudence</w:t>
      </w:r>
      <w:r w:rsidR="00B64AB4">
        <w:rPr>
          <w:rFonts w:asciiTheme="minorHAnsi" w:hAnsiTheme="minorHAnsi" w:cstheme="minorHAnsi"/>
          <w:sz w:val="22"/>
          <w:szCs w:val="22"/>
          <w:u w:val="single"/>
        </w:rPr>
        <w:t xml:space="preserve"> </w:t>
      </w:r>
    </w:p>
    <w:p w14:paraId="5E3DAC1B" w14:textId="77777777" w:rsidR="004C15CC" w:rsidRDefault="004C15CC" w:rsidP="004C15CC">
      <w:pPr>
        <w:spacing w:before="100" w:beforeAutospacing="1" w:after="100" w:afterAutospacing="1" w:line="240" w:lineRule="auto"/>
        <w:contextualSpacing/>
        <w:jc w:val="both"/>
        <w:rPr>
          <w:rFonts w:ascii="Calibri" w:eastAsia="Cambria" w:hAnsi="Calibri" w:cs="Calibri"/>
          <w:color w:val="000000"/>
          <w:u w:color="000000"/>
          <w:lang w:val="fr-BE" w:eastAsia="fr-FR"/>
        </w:rPr>
      </w:pPr>
      <w:r>
        <w:rPr>
          <w:rFonts w:ascii="Calibri" w:eastAsia="Cambria" w:hAnsi="Calibri" w:cs="Calibri"/>
          <w:color w:val="000000"/>
          <w:u w:color="000000"/>
          <w:lang w:val="fr-FR" w:eastAsia="fr-FR"/>
        </w:rPr>
        <w:t>La doctrine précise que : «</w:t>
      </w:r>
      <w:r w:rsidRPr="00BE5921">
        <w:rPr>
          <w:rFonts w:ascii="Calibri" w:eastAsia="Cambria" w:hAnsi="Calibri" w:cs="Calibri"/>
          <w:color w:val="000000"/>
          <w:u w:color="000000"/>
          <w:lang w:val="fr-BE" w:eastAsia="fr-FR"/>
        </w:rPr>
        <w:t xml:space="preserve"> </w:t>
      </w:r>
      <w:r w:rsidRPr="00BE5921">
        <w:rPr>
          <w:rFonts w:ascii="Calibri" w:eastAsia="Cambria" w:hAnsi="Calibri" w:cs="Calibri"/>
          <w:i/>
          <w:iCs/>
          <w:color w:val="000000"/>
          <w:u w:color="000000"/>
          <w:lang w:val="fr-BE" w:eastAsia="fr-FR"/>
        </w:rPr>
        <w:t xml:space="preserve">les juridictions du travail ont, à de nombreuses reprises, rappelé qu'un seul incident ne pouvait pas être considéré comme du harcèlement, mais qu'il devait s'agir de comportements récurrents </w:t>
      </w:r>
      <w:r w:rsidRPr="00BE5921">
        <w:rPr>
          <w:rFonts w:ascii="Calibri" w:eastAsia="Cambria" w:hAnsi="Calibri" w:cs="Calibri"/>
          <w:color w:val="000000"/>
          <w:u w:color="000000"/>
          <w:lang w:val="fr-BE" w:eastAsia="fr-FR"/>
        </w:rPr>
        <w:t>»</w:t>
      </w:r>
      <w:r>
        <w:rPr>
          <w:rStyle w:val="Appelnotedebasdep"/>
          <w:rFonts w:ascii="Calibri" w:eastAsia="Cambria" w:hAnsi="Calibri" w:cs="Calibri"/>
          <w:color w:val="000000"/>
          <w:u w:color="000000"/>
          <w:lang w:val="fr-BE" w:eastAsia="fr-FR"/>
        </w:rPr>
        <w:footnoteReference w:id="19"/>
      </w:r>
      <w:r>
        <w:rPr>
          <w:rFonts w:ascii="Calibri" w:eastAsia="Cambria" w:hAnsi="Calibri" w:cs="Calibri"/>
          <w:color w:val="000000"/>
          <w:u w:color="000000"/>
          <w:lang w:val="fr-BE" w:eastAsia="fr-FR"/>
        </w:rPr>
        <w:t xml:space="preserve">. </w:t>
      </w:r>
    </w:p>
    <w:p w14:paraId="458661C5" w14:textId="77777777" w:rsidR="00802299" w:rsidRDefault="00802299" w:rsidP="004C15CC">
      <w:pPr>
        <w:spacing w:before="100" w:beforeAutospacing="1" w:after="100" w:afterAutospacing="1" w:line="240" w:lineRule="auto"/>
        <w:contextualSpacing/>
        <w:jc w:val="both"/>
        <w:rPr>
          <w:rFonts w:ascii="Calibri" w:eastAsia="Cambria" w:hAnsi="Calibri" w:cs="Calibri"/>
          <w:color w:val="000000"/>
          <w:u w:color="000000"/>
          <w:lang w:val="fr-BE" w:eastAsia="fr-FR"/>
        </w:rPr>
      </w:pPr>
    </w:p>
    <w:p w14:paraId="6F74EB0B" w14:textId="277B67B2" w:rsidR="00802299" w:rsidRDefault="00734311" w:rsidP="004C15CC">
      <w:pPr>
        <w:spacing w:before="100" w:beforeAutospacing="1" w:after="100" w:afterAutospacing="1" w:line="240" w:lineRule="auto"/>
        <w:contextualSpacing/>
        <w:jc w:val="both"/>
        <w:rPr>
          <w:rFonts w:ascii="Calibri" w:eastAsia="Cambria" w:hAnsi="Calibri" w:cs="Calibri"/>
          <w:color w:val="000000"/>
          <w:u w:color="000000"/>
          <w:lang w:val="fr-BE" w:eastAsia="fr-FR"/>
        </w:rPr>
      </w:pPr>
      <w:r>
        <w:rPr>
          <w:rFonts w:ascii="Calibri" w:eastAsia="Cambria" w:hAnsi="Calibri" w:cs="Calibri"/>
          <w:color w:val="000000"/>
          <w:u w:color="000000"/>
          <w:lang w:val="fr-BE" w:eastAsia="fr-FR"/>
        </w:rPr>
        <w:t xml:space="preserve">La Cour </w:t>
      </w:r>
      <w:r w:rsidR="00802299">
        <w:rPr>
          <w:rFonts w:ascii="Calibri" w:eastAsia="Cambria" w:hAnsi="Calibri" w:cs="Calibri"/>
          <w:color w:val="000000"/>
          <w:u w:color="000000"/>
          <w:lang w:val="fr-BE" w:eastAsia="fr-FR"/>
        </w:rPr>
        <w:t>du travail de Bruxelles a considéré que :</w:t>
      </w:r>
    </w:p>
    <w:p w14:paraId="3353B2BD" w14:textId="5586AA63" w:rsidR="00802299" w:rsidRDefault="00802299" w:rsidP="00802299">
      <w:pPr>
        <w:spacing w:before="100" w:beforeAutospacing="1" w:after="100" w:afterAutospacing="1" w:line="240" w:lineRule="auto"/>
        <w:ind w:left="426"/>
        <w:contextualSpacing/>
        <w:jc w:val="both"/>
        <w:rPr>
          <w:lang w:val="fr-BE"/>
        </w:rPr>
      </w:pPr>
      <w:r>
        <w:rPr>
          <w:rFonts w:ascii="Calibri" w:eastAsia="Cambria" w:hAnsi="Calibri" w:cs="Calibri"/>
          <w:color w:val="000000"/>
          <w:u w:color="000000"/>
          <w:lang w:val="fr-BE" w:eastAsia="fr-FR"/>
        </w:rPr>
        <w:t>«</w:t>
      </w:r>
      <w:r w:rsidR="00734311">
        <w:rPr>
          <w:rFonts w:ascii="Calibri" w:eastAsia="Cambria" w:hAnsi="Calibri" w:cs="Calibri"/>
          <w:color w:val="000000"/>
          <w:u w:color="000000"/>
          <w:lang w:val="fr-BE" w:eastAsia="fr-FR"/>
        </w:rPr>
        <w:t xml:space="preserve"> </w:t>
      </w:r>
      <w:r w:rsidR="00734311" w:rsidRPr="00734311">
        <w:rPr>
          <w:i/>
          <w:iCs/>
          <w:lang w:val="fr-BE"/>
        </w:rPr>
        <w:t>l'exercice normal de l'autorité par l'employeur ou ses délégués ne peut être assimilé à du harcèlement même si le travailleur concerné, dans sa subjectivité et son éventuelle fragilité, peut vivre mal certaines situations</w:t>
      </w:r>
      <w:r w:rsidRPr="00802299">
        <w:rPr>
          <w:lang w:val="fr-BE"/>
        </w:rPr>
        <w:t>. »</w:t>
      </w:r>
      <w:r>
        <w:rPr>
          <w:rStyle w:val="Appelnotedebasdep"/>
          <w:lang w:val="fr-BE"/>
        </w:rPr>
        <w:footnoteReference w:id="20"/>
      </w:r>
    </w:p>
    <w:p w14:paraId="033E4864" w14:textId="77777777" w:rsidR="000F7CDC" w:rsidRDefault="000F7CDC" w:rsidP="000F7CDC">
      <w:pPr>
        <w:spacing w:before="100" w:beforeAutospacing="1" w:after="100" w:afterAutospacing="1" w:line="240" w:lineRule="auto"/>
        <w:contextualSpacing/>
        <w:jc w:val="both"/>
        <w:rPr>
          <w:lang w:val="fr-BE"/>
        </w:rPr>
      </w:pPr>
    </w:p>
    <w:p w14:paraId="4E70F4F3" w14:textId="4DD1E468" w:rsidR="000F7CDC" w:rsidRDefault="000F7CDC" w:rsidP="000F7CDC">
      <w:pPr>
        <w:spacing w:before="100" w:beforeAutospacing="1" w:after="100" w:afterAutospacing="1" w:line="240" w:lineRule="auto"/>
        <w:contextualSpacing/>
        <w:jc w:val="both"/>
        <w:rPr>
          <w:lang w:val="fr-BE"/>
        </w:rPr>
      </w:pPr>
      <w:r>
        <w:rPr>
          <w:lang w:val="fr-BE"/>
        </w:rPr>
        <w:t>La Cour du travail d’Anvers a abondé dans le même sens :</w:t>
      </w:r>
    </w:p>
    <w:p w14:paraId="0C37A633" w14:textId="7A7792A0" w:rsidR="000F7CDC" w:rsidRDefault="000F7CDC" w:rsidP="000F7CDC">
      <w:pPr>
        <w:spacing w:before="100" w:beforeAutospacing="1" w:after="100" w:afterAutospacing="1" w:line="240" w:lineRule="auto"/>
        <w:ind w:left="426"/>
        <w:contextualSpacing/>
        <w:jc w:val="both"/>
        <w:rPr>
          <w:lang w:val="fr-BE"/>
        </w:rPr>
      </w:pPr>
      <w:r>
        <w:rPr>
          <w:lang w:val="fr-BE"/>
        </w:rPr>
        <w:t>« </w:t>
      </w:r>
      <w:r w:rsidRPr="000F7CDC">
        <w:rPr>
          <w:i/>
          <w:iCs/>
          <w:lang w:val="fr-BE"/>
        </w:rPr>
        <w:t xml:space="preserve">le harcèlement moral au sens de la loi sur le bien-être au travail exige que le comportement reproché soit objectivement abusif. </w:t>
      </w:r>
      <w:r w:rsidRPr="00FD5368">
        <w:rPr>
          <w:b/>
          <w:bCs/>
          <w:i/>
          <w:iCs/>
          <w:lang w:val="fr-BE"/>
        </w:rPr>
        <w:t>La notion de harcèlement moral ne comprend pas les comportements qui se situent dans l'exercice normal de l'autorité</w:t>
      </w:r>
      <w:r w:rsidRPr="000F7CDC">
        <w:rPr>
          <w:i/>
          <w:iCs/>
          <w:lang w:val="fr-BE"/>
        </w:rPr>
        <w:t>, même si le travailleur concerné les ressent de manière blessante, insultante ou humiliante. Le fait de donner des instructions, d'attribuer des tâches, d'évaluer négativement, .. ne sont objectivement abusifs que s'ils ne correspondent pas aux normes de comportements applicables explicitement ou implicitement</w:t>
      </w:r>
      <w:r>
        <w:rPr>
          <w:lang w:val="fr-BE"/>
        </w:rPr>
        <w:t>. »</w:t>
      </w:r>
    </w:p>
    <w:p w14:paraId="5E33645B" w14:textId="77777777" w:rsidR="00634FF2" w:rsidRPr="00A65AF8" w:rsidRDefault="00634FF2" w:rsidP="000F7CDC">
      <w:pPr>
        <w:spacing w:before="100" w:beforeAutospacing="1" w:after="100" w:afterAutospacing="1" w:line="240" w:lineRule="auto"/>
        <w:ind w:left="426"/>
        <w:contextualSpacing/>
        <w:jc w:val="both"/>
        <w:rPr>
          <w:rFonts w:ascii="Calibri" w:eastAsia="Cambria" w:hAnsi="Calibri" w:cs="Calibri"/>
          <w:color w:val="000000"/>
          <w:u w:color="000000"/>
          <w:lang w:val="fr-BE" w:eastAsia="fr-FR"/>
        </w:rPr>
      </w:pPr>
    </w:p>
    <w:p w14:paraId="3CE044CE" w14:textId="415C70F1" w:rsidR="0014745A" w:rsidRPr="00E66391" w:rsidRDefault="00E66391" w:rsidP="00D368C9">
      <w:pPr>
        <w:pStyle w:val="Liste"/>
        <w:spacing w:before="100" w:beforeAutospacing="1" w:after="100" w:afterAutospacing="1"/>
        <w:ind w:left="0" w:firstLine="0"/>
        <w:contextualSpacing/>
        <w:jc w:val="both"/>
        <w:rPr>
          <w:rFonts w:asciiTheme="minorHAnsi" w:hAnsiTheme="minorHAnsi" w:cstheme="minorHAnsi"/>
          <w:b/>
          <w:bCs/>
          <w:sz w:val="22"/>
          <w:szCs w:val="22"/>
          <w:u w:val="single"/>
        </w:rPr>
      </w:pPr>
      <w:r w:rsidRPr="00E66391">
        <w:rPr>
          <w:rFonts w:asciiTheme="minorHAnsi" w:hAnsiTheme="minorHAnsi" w:cstheme="minorHAnsi"/>
          <w:b/>
          <w:iCs/>
          <w:sz w:val="22"/>
          <w:szCs w:val="22"/>
          <w:u w:val="single"/>
          <w:lang w:val="fr-BE"/>
        </w:rPr>
        <w:t xml:space="preserve">B.2. Application </w:t>
      </w:r>
    </w:p>
    <w:p w14:paraId="02BC55FA" w14:textId="77777777" w:rsidR="0014745A" w:rsidRPr="006E3CAB" w:rsidRDefault="0014745A"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3CF3296A" w14:textId="3032D2DC" w:rsidR="0098139E" w:rsidRPr="006E3CAB" w:rsidRDefault="0014745A" w:rsidP="00E66391">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En substance, les faits dénoncés comme harcèlement moral </w:t>
      </w:r>
      <w:r w:rsidR="002C06D9" w:rsidRPr="006E3CAB">
        <w:rPr>
          <w:rFonts w:asciiTheme="minorHAnsi" w:hAnsiTheme="minorHAnsi" w:cstheme="minorHAnsi"/>
          <w:bCs/>
          <w:sz w:val="22"/>
          <w:szCs w:val="22"/>
        </w:rPr>
        <w:t xml:space="preserve">par Monsieur </w:t>
      </w:r>
      <w:r w:rsidR="00AC7907">
        <w:rPr>
          <w:rFonts w:asciiTheme="minorHAnsi" w:hAnsiTheme="minorHAnsi" w:cstheme="minorHAnsi"/>
          <w:bCs/>
          <w:sz w:val="22"/>
          <w:szCs w:val="22"/>
        </w:rPr>
        <w:t>P</w:t>
      </w:r>
      <w:r w:rsidR="002C06D9" w:rsidRPr="006E3CAB">
        <w:rPr>
          <w:rFonts w:asciiTheme="minorHAnsi" w:hAnsiTheme="minorHAnsi" w:cstheme="minorHAnsi"/>
          <w:bCs/>
          <w:sz w:val="22"/>
          <w:szCs w:val="22"/>
        </w:rPr>
        <w:t xml:space="preserve"> </w:t>
      </w:r>
      <w:r w:rsidRPr="006E3CAB">
        <w:rPr>
          <w:rFonts w:asciiTheme="minorHAnsi" w:hAnsiTheme="minorHAnsi" w:cstheme="minorHAnsi"/>
          <w:bCs/>
          <w:sz w:val="22"/>
          <w:szCs w:val="22"/>
        </w:rPr>
        <w:t>sont les suivants :</w:t>
      </w:r>
      <w:r w:rsidR="00E66391">
        <w:rPr>
          <w:rFonts w:asciiTheme="minorHAnsi" w:hAnsiTheme="minorHAnsi" w:cstheme="minorHAnsi"/>
          <w:bCs/>
          <w:sz w:val="22"/>
          <w:szCs w:val="22"/>
        </w:rPr>
        <w:t xml:space="preserve"> </w:t>
      </w:r>
      <w:r w:rsidR="00514540" w:rsidRPr="006E3CAB">
        <w:rPr>
          <w:rFonts w:asciiTheme="minorHAnsi" w:hAnsiTheme="minorHAnsi" w:cstheme="minorHAnsi"/>
          <w:bCs/>
          <w:sz w:val="22"/>
          <w:szCs w:val="22"/>
        </w:rPr>
        <w:t xml:space="preserve">l’OTW a émis un grand nombre de fiches de signalement à l’encontre de Monsieur </w:t>
      </w:r>
      <w:r w:rsidR="00AC7907">
        <w:rPr>
          <w:rFonts w:asciiTheme="minorHAnsi" w:hAnsiTheme="minorHAnsi" w:cstheme="minorHAnsi"/>
          <w:bCs/>
          <w:sz w:val="22"/>
          <w:szCs w:val="22"/>
        </w:rPr>
        <w:t>P</w:t>
      </w:r>
      <w:r w:rsidR="00E2219B" w:rsidRPr="006E3CAB">
        <w:rPr>
          <w:rFonts w:asciiTheme="minorHAnsi" w:hAnsiTheme="minorHAnsi" w:cstheme="minorHAnsi"/>
          <w:bCs/>
          <w:sz w:val="22"/>
          <w:szCs w:val="22"/>
        </w:rPr>
        <w:t xml:space="preserve">, </w:t>
      </w:r>
      <w:r w:rsidR="00045E62" w:rsidRPr="006E3CAB">
        <w:rPr>
          <w:rFonts w:asciiTheme="minorHAnsi" w:hAnsiTheme="minorHAnsi" w:cstheme="minorHAnsi"/>
          <w:bCs/>
          <w:sz w:val="22"/>
          <w:szCs w:val="22"/>
        </w:rPr>
        <w:t>et ce</w:t>
      </w:r>
      <w:r w:rsidR="00E2219B" w:rsidRPr="006E3CAB">
        <w:rPr>
          <w:rFonts w:asciiTheme="minorHAnsi" w:hAnsiTheme="minorHAnsi" w:cstheme="minorHAnsi"/>
          <w:bCs/>
          <w:sz w:val="22"/>
          <w:szCs w:val="22"/>
        </w:rPr>
        <w:t>lui</w:t>
      </w:r>
      <w:r w:rsidR="00E66391">
        <w:rPr>
          <w:rFonts w:asciiTheme="minorHAnsi" w:hAnsiTheme="minorHAnsi" w:cstheme="minorHAnsi"/>
          <w:bCs/>
          <w:sz w:val="22"/>
          <w:szCs w:val="22"/>
        </w:rPr>
        <w:t>-</w:t>
      </w:r>
      <w:r w:rsidR="0072527C" w:rsidRPr="006E3CAB">
        <w:rPr>
          <w:rFonts w:asciiTheme="minorHAnsi" w:hAnsiTheme="minorHAnsi" w:cstheme="minorHAnsi"/>
          <w:bCs/>
          <w:sz w:val="22"/>
          <w:szCs w:val="22"/>
        </w:rPr>
        <w:t xml:space="preserve">ci </w:t>
      </w:r>
      <w:r w:rsidR="00E2219B" w:rsidRPr="006E3CAB">
        <w:rPr>
          <w:rFonts w:asciiTheme="minorHAnsi" w:hAnsiTheme="minorHAnsi" w:cstheme="minorHAnsi"/>
          <w:bCs/>
          <w:sz w:val="22"/>
          <w:szCs w:val="22"/>
        </w:rPr>
        <w:t xml:space="preserve">juge </w:t>
      </w:r>
      <w:r w:rsidR="00CF6518" w:rsidRPr="006E3CAB">
        <w:rPr>
          <w:rFonts w:asciiTheme="minorHAnsi" w:hAnsiTheme="minorHAnsi" w:cstheme="minorHAnsi"/>
          <w:bCs/>
          <w:sz w:val="22"/>
          <w:szCs w:val="22"/>
        </w:rPr>
        <w:t>cette façon d’agir abusive</w:t>
      </w:r>
      <w:r w:rsidR="0098139E" w:rsidRPr="006E3CAB">
        <w:rPr>
          <w:rFonts w:asciiTheme="minorHAnsi" w:hAnsiTheme="minorHAnsi" w:cstheme="minorHAnsi"/>
          <w:bCs/>
          <w:sz w:val="22"/>
          <w:szCs w:val="22"/>
        </w:rPr>
        <w:t>.</w:t>
      </w:r>
    </w:p>
    <w:p w14:paraId="52925DDA" w14:textId="77777777" w:rsidR="00CF6518" w:rsidRPr="006E3CAB" w:rsidRDefault="00CF6518"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04CC6B38" w14:textId="4ECF272A" w:rsidR="00CF6518" w:rsidRPr="006E3CAB" w:rsidRDefault="00CF6518"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En page </w:t>
      </w:r>
      <w:r w:rsidR="008C5B33" w:rsidRPr="006E3CAB">
        <w:rPr>
          <w:rFonts w:asciiTheme="minorHAnsi" w:hAnsiTheme="minorHAnsi" w:cstheme="minorHAnsi"/>
          <w:bCs/>
          <w:sz w:val="22"/>
          <w:szCs w:val="22"/>
        </w:rPr>
        <w:t>49 et suivante</w:t>
      </w:r>
      <w:r w:rsidR="00385E2E" w:rsidRPr="006E3CAB">
        <w:rPr>
          <w:rFonts w:asciiTheme="minorHAnsi" w:hAnsiTheme="minorHAnsi" w:cstheme="minorHAnsi"/>
          <w:bCs/>
          <w:sz w:val="22"/>
          <w:szCs w:val="22"/>
        </w:rPr>
        <w:t>s</w:t>
      </w:r>
      <w:r w:rsidR="008C5B33" w:rsidRPr="006E3CAB">
        <w:rPr>
          <w:rFonts w:asciiTheme="minorHAnsi" w:hAnsiTheme="minorHAnsi" w:cstheme="minorHAnsi"/>
          <w:bCs/>
          <w:sz w:val="22"/>
          <w:szCs w:val="22"/>
        </w:rPr>
        <w:t xml:space="preserve"> de ses conclusions, l’OTW</w:t>
      </w:r>
      <w:r w:rsidR="009466B4" w:rsidRPr="006E3CAB">
        <w:rPr>
          <w:rFonts w:asciiTheme="minorHAnsi" w:hAnsiTheme="minorHAnsi" w:cstheme="minorHAnsi"/>
          <w:bCs/>
          <w:sz w:val="22"/>
          <w:szCs w:val="22"/>
        </w:rPr>
        <w:t xml:space="preserve"> se justifie, précisant déposer le dossier individuel de Monsieur </w:t>
      </w:r>
      <w:r w:rsidR="00AC7907">
        <w:rPr>
          <w:rFonts w:asciiTheme="minorHAnsi" w:hAnsiTheme="minorHAnsi" w:cstheme="minorHAnsi"/>
          <w:bCs/>
          <w:sz w:val="22"/>
          <w:szCs w:val="22"/>
        </w:rPr>
        <w:t>P</w:t>
      </w:r>
      <w:r w:rsidR="00385E2E" w:rsidRPr="006E3CAB">
        <w:rPr>
          <w:rFonts w:asciiTheme="minorHAnsi" w:hAnsiTheme="minorHAnsi" w:cstheme="minorHAnsi"/>
          <w:bCs/>
          <w:sz w:val="22"/>
          <w:szCs w:val="22"/>
        </w:rPr>
        <w:t>.</w:t>
      </w:r>
    </w:p>
    <w:p w14:paraId="65326AA3" w14:textId="77777777" w:rsidR="00385E2E" w:rsidRPr="006E3CAB" w:rsidRDefault="00385E2E"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469E45DB" w14:textId="316C86D5" w:rsidR="00385E2E" w:rsidRPr="006E3CAB" w:rsidRDefault="00385E2E"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L’OTW relève que l’analyse de ce dossier permet de constater que Monsieur </w:t>
      </w:r>
      <w:r w:rsidR="00AC7907">
        <w:rPr>
          <w:rFonts w:asciiTheme="minorHAnsi" w:hAnsiTheme="minorHAnsi" w:cstheme="minorHAnsi"/>
          <w:bCs/>
          <w:sz w:val="22"/>
          <w:szCs w:val="22"/>
        </w:rPr>
        <w:t>P</w:t>
      </w:r>
      <w:r w:rsidRPr="006E3CAB">
        <w:rPr>
          <w:rFonts w:asciiTheme="minorHAnsi" w:hAnsiTheme="minorHAnsi" w:cstheme="minorHAnsi"/>
          <w:bCs/>
          <w:sz w:val="22"/>
          <w:szCs w:val="22"/>
        </w:rPr>
        <w:t xml:space="preserve"> a été invité à diverses reprises à compléter des feuilles de justification, suite à des plaintes de clients ou des constats de la </w:t>
      </w:r>
      <w:r w:rsidR="00E924CA" w:rsidRPr="006E3CAB">
        <w:rPr>
          <w:rFonts w:asciiTheme="minorHAnsi" w:hAnsiTheme="minorHAnsi" w:cstheme="minorHAnsi"/>
          <w:bCs/>
          <w:sz w:val="22"/>
          <w:szCs w:val="22"/>
        </w:rPr>
        <w:t>ligne hiérarchique.</w:t>
      </w:r>
    </w:p>
    <w:p w14:paraId="5852AE37" w14:textId="77777777" w:rsidR="00E924CA" w:rsidRPr="006E3CAB" w:rsidRDefault="00E924CA"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4DF556A1" w14:textId="77777777" w:rsidR="006664D4" w:rsidRPr="006E3CAB" w:rsidRDefault="00E924CA"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Il soutient que dans le cadre de sa démarche de qualité interne, l’OTW</w:t>
      </w:r>
      <w:r w:rsidR="0072527C" w:rsidRPr="006E3CAB">
        <w:rPr>
          <w:rFonts w:asciiTheme="minorHAnsi" w:hAnsiTheme="minorHAnsi" w:cstheme="minorHAnsi"/>
          <w:bCs/>
          <w:sz w:val="22"/>
          <w:szCs w:val="22"/>
        </w:rPr>
        <w:t xml:space="preserve"> analyse chacune des plaintes déposées</w:t>
      </w:r>
      <w:r w:rsidR="006664D4" w:rsidRPr="006E3CAB">
        <w:rPr>
          <w:rFonts w:asciiTheme="minorHAnsi" w:hAnsiTheme="minorHAnsi" w:cstheme="minorHAnsi"/>
          <w:bCs/>
          <w:sz w:val="22"/>
          <w:szCs w:val="22"/>
        </w:rPr>
        <w:t xml:space="preserve"> par ses clients, et y réserve une suite.</w:t>
      </w:r>
    </w:p>
    <w:p w14:paraId="48FF1EB1" w14:textId="06F37A6F" w:rsidR="00E924CA" w:rsidRPr="006E3CAB" w:rsidRDefault="006664D4"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L’</w:t>
      </w:r>
      <w:r w:rsidR="00E924CA" w:rsidRPr="006E3CAB">
        <w:rPr>
          <w:rFonts w:asciiTheme="minorHAnsi" w:hAnsiTheme="minorHAnsi" w:cstheme="minorHAnsi"/>
          <w:bCs/>
          <w:sz w:val="22"/>
          <w:szCs w:val="22"/>
        </w:rPr>
        <w:t xml:space="preserve"> </w:t>
      </w:r>
      <w:r w:rsidRPr="006E3CAB">
        <w:rPr>
          <w:rFonts w:asciiTheme="minorHAnsi" w:hAnsiTheme="minorHAnsi" w:cstheme="minorHAnsi"/>
          <w:bCs/>
          <w:sz w:val="22"/>
          <w:szCs w:val="22"/>
        </w:rPr>
        <w:t xml:space="preserve">OTW ajoute </w:t>
      </w:r>
      <w:r w:rsidR="0012665E" w:rsidRPr="006E3CAB">
        <w:rPr>
          <w:rFonts w:asciiTheme="minorHAnsi" w:hAnsiTheme="minorHAnsi" w:cstheme="minorHAnsi"/>
          <w:bCs/>
          <w:sz w:val="22"/>
          <w:szCs w:val="22"/>
        </w:rPr>
        <w:t xml:space="preserve">avoir tenu compte des réponses de Monsieur </w:t>
      </w:r>
      <w:r w:rsidR="00AC7907">
        <w:rPr>
          <w:rFonts w:asciiTheme="minorHAnsi" w:hAnsiTheme="minorHAnsi" w:cstheme="minorHAnsi"/>
          <w:bCs/>
          <w:sz w:val="22"/>
          <w:szCs w:val="22"/>
        </w:rPr>
        <w:t>P</w:t>
      </w:r>
      <w:r w:rsidR="0012665E" w:rsidRPr="006E3CAB">
        <w:rPr>
          <w:rFonts w:asciiTheme="minorHAnsi" w:hAnsiTheme="minorHAnsi" w:cstheme="minorHAnsi"/>
          <w:bCs/>
          <w:sz w:val="22"/>
          <w:szCs w:val="22"/>
        </w:rPr>
        <w:t xml:space="preserve">, de sorte que seuls quelques faits ont été considérés comme établis et ont </w:t>
      </w:r>
      <w:r w:rsidR="00310CB1" w:rsidRPr="006E3CAB">
        <w:rPr>
          <w:rFonts w:asciiTheme="minorHAnsi" w:hAnsiTheme="minorHAnsi" w:cstheme="minorHAnsi"/>
          <w:bCs/>
          <w:sz w:val="22"/>
          <w:szCs w:val="22"/>
        </w:rPr>
        <w:t xml:space="preserve">donnés lieu à des punitions et ont </w:t>
      </w:r>
      <w:r w:rsidR="004B6F19" w:rsidRPr="006E3CAB">
        <w:rPr>
          <w:rFonts w:asciiTheme="minorHAnsi" w:hAnsiTheme="minorHAnsi" w:cstheme="minorHAnsi"/>
          <w:bCs/>
          <w:sz w:val="22"/>
          <w:szCs w:val="22"/>
        </w:rPr>
        <w:t>été reprises dans le « tableau des irrégularités ».</w:t>
      </w:r>
    </w:p>
    <w:p w14:paraId="786D4B49" w14:textId="77777777" w:rsidR="00B4378C" w:rsidRPr="006E3CAB" w:rsidRDefault="00B4378C"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5B246440" w14:textId="72FA08A1" w:rsidR="000859D6" w:rsidRPr="006E3CAB" w:rsidRDefault="00B4378C"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Aucune sanction n’a été infligée pour nombre de faits repris dans les dites fiches </w:t>
      </w:r>
      <w:r w:rsidR="00946408" w:rsidRPr="006E3CAB">
        <w:rPr>
          <w:rFonts w:asciiTheme="minorHAnsi" w:hAnsiTheme="minorHAnsi" w:cstheme="minorHAnsi"/>
          <w:bCs/>
          <w:sz w:val="22"/>
          <w:szCs w:val="22"/>
        </w:rPr>
        <w:t>(9 fiches ou plaintes</w:t>
      </w:r>
      <w:r w:rsidR="00383081" w:rsidRPr="006E3CAB">
        <w:rPr>
          <w:rFonts w:asciiTheme="minorHAnsi" w:hAnsiTheme="minorHAnsi" w:cstheme="minorHAnsi"/>
          <w:bCs/>
          <w:sz w:val="22"/>
          <w:szCs w:val="22"/>
        </w:rPr>
        <w:t xml:space="preserve"> </w:t>
      </w:r>
      <w:r w:rsidR="000859D6" w:rsidRPr="006E3CAB">
        <w:rPr>
          <w:rFonts w:asciiTheme="minorHAnsi" w:hAnsiTheme="minorHAnsi" w:cstheme="minorHAnsi"/>
          <w:bCs/>
          <w:sz w:val="22"/>
          <w:szCs w:val="22"/>
        </w:rPr>
        <w:t>pour de</w:t>
      </w:r>
      <w:r w:rsidR="008A3A63">
        <w:rPr>
          <w:rFonts w:asciiTheme="minorHAnsi" w:hAnsiTheme="minorHAnsi" w:cstheme="minorHAnsi"/>
          <w:bCs/>
          <w:sz w:val="22"/>
          <w:szCs w:val="22"/>
        </w:rPr>
        <w:t>s</w:t>
      </w:r>
      <w:r w:rsidR="000859D6" w:rsidRPr="006E3CAB">
        <w:rPr>
          <w:rFonts w:asciiTheme="minorHAnsi" w:hAnsiTheme="minorHAnsi" w:cstheme="minorHAnsi"/>
          <w:bCs/>
          <w:sz w:val="22"/>
          <w:szCs w:val="22"/>
        </w:rPr>
        <w:t xml:space="preserve"> faits situés entre mars 2017 et juillet 2019)</w:t>
      </w:r>
      <w:r w:rsidR="008A3A63">
        <w:rPr>
          <w:rStyle w:val="Appelnotedebasdep"/>
          <w:rFonts w:asciiTheme="minorHAnsi" w:hAnsiTheme="minorHAnsi" w:cstheme="minorHAnsi"/>
          <w:bCs/>
          <w:sz w:val="22"/>
          <w:szCs w:val="22"/>
        </w:rPr>
        <w:footnoteReference w:id="21"/>
      </w:r>
      <w:r w:rsidR="000859D6" w:rsidRPr="006E3CAB">
        <w:rPr>
          <w:rFonts w:asciiTheme="minorHAnsi" w:hAnsiTheme="minorHAnsi" w:cstheme="minorHAnsi"/>
          <w:bCs/>
          <w:sz w:val="22"/>
          <w:szCs w:val="22"/>
        </w:rPr>
        <w:t>.</w:t>
      </w:r>
    </w:p>
    <w:p w14:paraId="57849210" w14:textId="202C361B" w:rsidR="00163EA0" w:rsidRPr="006E3CAB" w:rsidRDefault="000859D6"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 </w:t>
      </w:r>
    </w:p>
    <w:p w14:paraId="41DECEA9" w14:textId="0AC27FC1" w:rsidR="00385E2E" w:rsidRPr="006E3CAB" w:rsidRDefault="00163EA0"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Bref, l’OTW soutient avoir exercé normalement son autorité, en invitant Monsieur </w:t>
      </w:r>
      <w:r w:rsidR="00AC7907">
        <w:rPr>
          <w:rFonts w:asciiTheme="minorHAnsi" w:hAnsiTheme="minorHAnsi" w:cstheme="minorHAnsi"/>
          <w:bCs/>
          <w:sz w:val="22"/>
          <w:szCs w:val="22"/>
        </w:rPr>
        <w:t>P</w:t>
      </w:r>
      <w:r w:rsidRPr="006E3CAB">
        <w:rPr>
          <w:rFonts w:asciiTheme="minorHAnsi" w:hAnsiTheme="minorHAnsi" w:cstheme="minorHAnsi"/>
          <w:bCs/>
          <w:sz w:val="22"/>
          <w:szCs w:val="22"/>
        </w:rPr>
        <w:t xml:space="preserve"> à compléter des feuilles de justification lorsque la situation le justifiait</w:t>
      </w:r>
      <w:r w:rsidR="00383081" w:rsidRPr="006E3CAB">
        <w:rPr>
          <w:rFonts w:asciiTheme="minorHAnsi" w:hAnsiTheme="minorHAnsi" w:cstheme="minorHAnsi"/>
          <w:bCs/>
          <w:sz w:val="22"/>
          <w:szCs w:val="22"/>
        </w:rPr>
        <w:t>, et en lui infligeant, pour quelques manquements, des sanctions disciplinaires</w:t>
      </w:r>
      <w:r w:rsidR="00FE29B1" w:rsidRPr="006E3CAB">
        <w:rPr>
          <w:rFonts w:asciiTheme="minorHAnsi" w:hAnsiTheme="minorHAnsi" w:cstheme="minorHAnsi"/>
          <w:bCs/>
          <w:sz w:val="22"/>
          <w:szCs w:val="22"/>
        </w:rPr>
        <w:t>.</w:t>
      </w:r>
    </w:p>
    <w:p w14:paraId="1E64B051" w14:textId="77777777" w:rsidR="00FE29B1" w:rsidRPr="006E3CAB" w:rsidRDefault="00FE29B1"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2A558B49" w14:textId="1E532A0D" w:rsidR="00FE29B1" w:rsidRPr="006E3CAB" w:rsidRDefault="00FE29B1"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Le président du tribunal n’aperçoit pas dans ces faits </w:t>
      </w:r>
      <w:r w:rsidR="00FA3E59" w:rsidRPr="006E3CAB">
        <w:rPr>
          <w:rFonts w:asciiTheme="minorHAnsi" w:hAnsiTheme="minorHAnsi" w:cstheme="minorHAnsi"/>
          <w:bCs/>
          <w:sz w:val="22"/>
          <w:szCs w:val="22"/>
        </w:rPr>
        <w:t>des conduites abusives et répétées qui seraient susceptibles de constituer du harcèlement moral au sens des textes précités.</w:t>
      </w:r>
    </w:p>
    <w:p w14:paraId="29F95FF0" w14:textId="77777777" w:rsidR="00FA3E59" w:rsidRPr="006E3CAB" w:rsidRDefault="00FA3E59"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0A18141C" w14:textId="77777777" w:rsidR="004728CA" w:rsidRPr="006E3CAB" w:rsidRDefault="00FA3E59"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 xml:space="preserve">Il s’agit </w:t>
      </w:r>
      <w:r w:rsidR="00A43F9B" w:rsidRPr="006E3CAB">
        <w:rPr>
          <w:rFonts w:asciiTheme="minorHAnsi" w:hAnsiTheme="minorHAnsi" w:cstheme="minorHAnsi"/>
          <w:bCs/>
          <w:sz w:val="22"/>
          <w:szCs w:val="22"/>
        </w:rPr>
        <w:t xml:space="preserve">de l’exercice </w:t>
      </w:r>
      <w:r w:rsidR="00A4218D" w:rsidRPr="006E3CAB">
        <w:rPr>
          <w:rFonts w:asciiTheme="minorHAnsi" w:hAnsiTheme="minorHAnsi" w:cstheme="minorHAnsi"/>
          <w:bCs/>
          <w:sz w:val="22"/>
          <w:szCs w:val="22"/>
        </w:rPr>
        <w:t xml:space="preserve">normal </w:t>
      </w:r>
      <w:r w:rsidR="00A43F9B" w:rsidRPr="006E3CAB">
        <w:rPr>
          <w:rFonts w:asciiTheme="minorHAnsi" w:hAnsiTheme="minorHAnsi" w:cstheme="minorHAnsi"/>
          <w:bCs/>
          <w:sz w:val="22"/>
          <w:szCs w:val="22"/>
        </w:rPr>
        <w:t xml:space="preserve">du pouvoir d’autorité et de contrôle de la qualité du travail, </w:t>
      </w:r>
      <w:r w:rsidR="00A4218D" w:rsidRPr="006E3CAB">
        <w:rPr>
          <w:rFonts w:asciiTheme="minorHAnsi" w:hAnsiTheme="minorHAnsi" w:cstheme="minorHAnsi"/>
          <w:bCs/>
          <w:sz w:val="22"/>
          <w:szCs w:val="22"/>
        </w:rPr>
        <w:t>et de l’application et le suivi de procédures internes relatives à ce contrôle</w:t>
      </w:r>
      <w:r w:rsidR="00134340" w:rsidRPr="006E3CAB">
        <w:rPr>
          <w:rFonts w:asciiTheme="minorHAnsi" w:hAnsiTheme="minorHAnsi" w:cstheme="minorHAnsi"/>
          <w:bCs/>
          <w:sz w:val="22"/>
          <w:szCs w:val="22"/>
        </w:rPr>
        <w:t>, afin d’améliorer le service au client de l’OTW.</w:t>
      </w:r>
    </w:p>
    <w:p w14:paraId="4E9AB0F1" w14:textId="77777777" w:rsidR="004728CA" w:rsidRPr="006E3CAB" w:rsidRDefault="004728CA"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7F1894C9" w14:textId="7129F9F9" w:rsidR="004728CA" w:rsidRPr="006E3CAB" w:rsidRDefault="004728CA"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Au demeurant, lorsqu’il y a plainte, le travailleur a la possibilité de s’expl</w:t>
      </w:r>
      <w:r w:rsidR="00903C5E" w:rsidRPr="006E3CAB">
        <w:rPr>
          <w:rFonts w:asciiTheme="minorHAnsi" w:hAnsiTheme="minorHAnsi" w:cstheme="minorHAnsi"/>
          <w:bCs/>
          <w:sz w:val="22"/>
          <w:szCs w:val="22"/>
        </w:rPr>
        <w:t xml:space="preserve">iquer, et en cas de sanction disciplinaire, de faire recours contre la dite sanction (ce que Monsieur </w:t>
      </w:r>
      <w:r w:rsidR="00AC7907">
        <w:rPr>
          <w:rFonts w:asciiTheme="minorHAnsi" w:hAnsiTheme="minorHAnsi" w:cstheme="minorHAnsi"/>
          <w:bCs/>
          <w:sz w:val="22"/>
          <w:szCs w:val="22"/>
        </w:rPr>
        <w:t>P</w:t>
      </w:r>
      <w:r w:rsidR="00903C5E" w:rsidRPr="006E3CAB">
        <w:rPr>
          <w:rFonts w:asciiTheme="minorHAnsi" w:hAnsiTheme="minorHAnsi" w:cstheme="minorHAnsi"/>
          <w:bCs/>
          <w:sz w:val="22"/>
          <w:szCs w:val="22"/>
        </w:rPr>
        <w:t xml:space="preserve"> n’a jamais fait).</w:t>
      </w:r>
    </w:p>
    <w:p w14:paraId="5EBBE1E6" w14:textId="77777777" w:rsidR="004728CA" w:rsidRPr="006E3CAB" w:rsidRDefault="004728CA"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7BD851F9" w14:textId="7CA46670" w:rsidR="004728CA" w:rsidRPr="006E3CAB" w:rsidRDefault="004728CA" w:rsidP="00D368C9">
      <w:pPr>
        <w:pStyle w:val="Liste"/>
        <w:spacing w:before="100" w:beforeAutospacing="1" w:after="100" w:afterAutospacing="1"/>
        <w:ind w:left="0" w:firstLine="0"/>
        <w:contextualSpacing/>
        <w:jc w:val="both"/>
        <w:rPr>
          <w:rFonts w:asciiTheme="minorHAnsi" w:hAnsiTheme="minorHAnsi" w:cstheme="minorHAnsi"/>
          <w:bCs/>
          <w:sz w:val="22"/>
          <w:szCs w:val="22"/>
          <w:lang w:val="fr-BE"/>
        </w:rPr>
      </w:pPr>
      <w:r w:rsidRPr="006E3CAB">
        <w:rPr>
          <w:rFonts w:asciiTheme="minorHAnsi" w:hAnsiTheme="minorHAnsi" w:cstheme="minorHAnsi"/>
          <w:bCs/>
          <w:sz w:val="22"/>
          <w:szCs w:val="22"/>
        </w:rPr>
        <w:t>Il ne convient pas d’ordonner l’OTW</w:t>
      </w:r>
      <w:r w:rsidRPr="006E3CAB">
        <w:rPr>
          <w:rFonts w:asciiTheme="minorHAnsi" w:hAnsiTheme="minorHAnsi" w:cstheme="minorHAnsi"/>
          <w:bCs/>
          <w:sz w:val="22"/>
          <w:szCs w:val="22"/>
          <w:lang w:val="fr-BE"/>
        </w:rPr>
        <w:t xml:space="preserve"> à cesser </w:t>
      </w:r>
      <w:r w:rsidR="003236A7" w:rsidRPr="006E3CAB">
        <w:rPr>
          <w:rFonts w:asciiTheme="minorHAnsi" w:hAnsiTheme="minorHAnsi" w:cstheme="minorHAnsi"/>
          <w:bCs/>
          <w:sz w:val="22"/>
          <w:szCs w:val="22"/>
          <w:lang w:val="fr-BE"/>
        </w:rPr>
        <w:t>ces agissements, qui font partie de l’exercice normal de son pouvoir d’autorité.</w:t>
      </w:r>
    </w:p>
    <w:p w14:paraId="143A1CBA" w14:textId="77777777" w:rsidR="004728CA" w:rsidRPr="006E3CAB" w:rsidRDefault="004728CA"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2AE3EC0C" w14:textId="12284BCC" w:rsidR="00FA3E59" w:rsidRPr="006E3CAB" w:rsidRDefault="004728CA"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6E3CAB">
        <w:rPr>
          <w:rFonts w:asciiTheme="minorHAnsi" w:hAnsiTheme="minorHAnsi" w:cstheme="minorHAnsi"/>
          <w:bCs/>
          <w:sz w:val="22"/>
          <w:szCs w:val="22"/>
        </w:rPr>
        <w:t>Ce chef de demande est non fondé.</w:t>
      </w:r>
      <w:r w:rsidR="00A43F9B" w:rsidRPr="006E3CAB">
        <w:rPr>
          <w:rFonts w:asciiTheme="minorHAnsi" w:hAnsiTheme="minorHAnsi" w:cstheme="minorHAnsi"/>
          <w:bCs/>
          <w:sz w:val="22"/>
          <w:szCs w:val="22"/>
        </w:rPr>
        <w:t xml:space="preserve"> </w:t>
      </w:r>
    </w:p>
    <w:p w14:paraId="3413CA10" w14:textId="77777777" w:rsidR="0014745A" w:rsidRPr="006E3CAB" w:rsidRDefault="0014745A" w:rsidP="00502981">
      <w:pPr>
        <w:pStyle w:val="Liste"/>
        <w:spacing w:before="100" w:beforeAutospacing="1" w:after="100" w:afterAutospacing="1"/>
        <w:ind w:left="0" w:firstLine="0"/>
        <w:contextualSpacing/>
        <w:jc w:val="both"/>
        <w:rPr>
          <w:rFonts w:asciiTheme="minorHAnsi" w:hAnsiTheme="minorHAnsi" w:cstheme="minorHAnsi"/>
          <w:bCs/>
          <w:sz w:val="22"/>
          <w:szCs w:val="22"/>
          <w:u w:val="single"/>
        </w:rPr>
      </w:pPr>
    </w:p>
    <w:p w14:paraId="1F3407CB" w14:textId="0DB40A0D" w:rsidR="00851EB4" w:rsidRPr="00677ABC" w:rsidRDefault="00851EB4" w:rsidP="00677ABC">
      <w:pPr>
        <w:pStyle w:val="Normalcentr"/>
        <w:numPr>
          <w:ilvl w:val="0"/>
          <w:numId w:val="21"/>
        </w:numPr>
        <w:tabs>
          <w:tab w:val="left" w:pos="0"/>
          <w:tab w:val="left" w:pos="6096"/>
          <w:tab w:val="right" w:pos="7088"/>
        </w:tabs>
        <w:spacing w:before="100" w:beforeAutospacing="1" w:after="100" w:afterAutospacing="1"/>
        <w:contextualSpacing/>
        <w:jc w:val="both"/>
        <w:rPr>
          <w:rFonts w:asciiTheme="minorHAnsi" w:hAnsiTheme="minorHAnsi" w:cstheme="minorHAnsi"/>
          <w:b/>
          <w:bCs/>
          <w:sz w:val="22"/>
          <w:szCs w:val="22"/>
          <w:u w:val="single"/>
        </w:rPr>
      </w:pPr>
      <w:r w:rsidRPr="00677ABC">
        <w:rPr>
          <w:rFonts w:asciiTheme="minorHAnsi" w:hAnsiTheme="minorHAnsi" w:cstheme="minorHAnsi"/>
          <w:b/>
          <w:bCs/>
          <w:sz w:val="22"/>
          <w:szCs w:val="22"/>
          <w:u w:val="single"/>
        </w:rPr>
        <w:t>Exécution provisoire</w:t>
      </w:r>
      <w:r w:rsidR="00E76C7C">
        <w:rPr>
          <w:rFonts w:asciiTheme="minorHAnsi" w:hAnsiTheme="minorHAnsi" w:cstheme="minorHAnsi"/>
          <w:b/>
          <w:bCs/>
          <w:sz w:val="22"/>
          <w:szCs w:val="22"/>
          <w:u w:val="single"/>
        </w:rPr>
        <w:t xml:space="preserve"> et cantonnement</w:t>
      </w:r>
    </w:p>
    <w:p w14:paraId="258A9B6A" w14:textId="1154053F" w:rsidR="00A0452F" w:rsidRDefault="00B77FC6" w:rsidP="00D368C9">
      <w:pPr>
        <w:pStyle w:val="Liste"/>
        <w:spacing w:before="100" w:beforeAutospacing="1" w:after="100" w:afterAutospacing="1"/>
        <w:ind w:left="0" w:firstLine="0"/>
        <w:contextualSpacing/>
        <w:jc w:val="both"/>
        <w:rPr>
          <w:rFonts w:asciiTheme="minorHAnsi" w:hAnsiTheme="minorHAnsi" w:cstheme="minorHAnsi"/>
          <w:sz w:val="22"/>
          <w:szCs w:val="22"/>
        </w:rPr>
      </w:pPr>
      <w:r>
        <w:rPr>
          <w:rFonts w:asciiTheme="minorHAnsi" w:hAnsiTheme="minorHAnsi" w:cstheme="minorHAnsi"/>
          <w:sz w:val="22"/>
          <w:szCs w:val="22"/>
        </w:rPr>
        <w:t>L’article 20 §4, alinéa 5 du décret qui prévoit l</w:t>
      </w:r>
      <w:r w:rsidR="00A0452F">
        <w:rPr>
          <w:rFonts w:asciiTheme="minorHAnsi" w:hAnsiTheme="minorHAnsi" w:cstheme="minorHAnsi"/>
          <w:sz w:val="22"/>
          <w:szCs w:val="22"/>
        </w:rPr>
        <w:t>a possibilité d’action en cessation précise que :</w:t>
      </w:r>
    </w:p>
    <w:p w14:paraId="1843ACAD" w14:textId="77777777" w:rsidR="00A0452F" w:rsidRDefault="00A0452F"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0DB9EE67" w14:textId="0E985606" w:rsidR="00A0452F" w:rsidRPr="00F66B2F" w:rsidRDefault="00F66B2F" w:rsidP="00F66B2F">
      <w:pPr>
        <w:pStyle w:val="Liste"/>
        <w:spacing w:before="100" w:beforeAutospacing="1" w:after="100" w:afterAutospacing="1"/>
        <w:ind w:left="567" w:firstLine="0"/>
        <w:contextualSpacing/>
        <w:jc w:val="both"/>
        <w:rPr>
          <w:rFonts w:asciiTheme="minorHAnsi" w:hAnsiTheme="minorHAnsi" w:cstheme="minorHAnsi"/>
          <w:sz w:val="22"/>
          <w:szCs w:val="22"/>
          <w:lang w:val="fr-BE"/>
        </w:rPr>
      </w:pPr>
      <w:r>
        <w:rPr>
          <w:rFonts w:asciiTheme="minorHAnsi" w:hAnsiTheme="minorHAnsi" w:cstheme="minorHAnsi"/>
          <w:sz w:val="22"/>
          <w:szCs w:val="22"/>
        </w:rPr>
        <w:t>« </w:t>
      </w:r>
      <w:r w:rsidRPr="00F66B2F">
        <w:rPr>
          <w:rFonts w:asciiTheme="minorHAnsi" w:hAnsiTheme="minorHAnsi" w:cstheme="minorHAnsi"/>
          <w:i/>
          <w:iCs/>
          <w:sz w:val="22"/>
          <w:szCs w:val="22"/>
          <w:lang w:val="fr-BE"/>
        </w:rPr>
        <w:t xml:space="preserve">Le jugement est </w:t>
      </w:r>
      <w:r w:rsidRPr="00F66B2F">
        <w:rPr>
          <w:rFonts w:asciiTheme="minorHAnsi" w:hAnsiTheme="minorHAnsi" w:cstheme="minorHAnsi"/>
          <w:b/>
          <w:bCs/>
          <w:i/>
          <w:iCs/>
          <w:sz w:val="22"/>
          <w:szCs w:val="22"/>
          <w:lang w:val="fr-BE"/>
        </w:rPr>
        <w:t>exécutoire par provision</w:t>
      </w:r>
      <w:r w:rsidRPr="00F66B2F">
        <w:rPr>
          <w:rFonts w:asciiTheme="minorHAnsi" w:hAnsiTheme="minorHAnsi" w:cstheme="minorHAnsi"/>
          <w:i/>
          <w:iCs/>
          <w:sz w:val="22"/>
          <w:szCs w:val="22"/>
          <w:lang w:val="fr-BE"/>
        </w:rPr>
        <w:t xml:space="preserve">, malgré tout recours et </w:t>
      </w:r>
      <w:r w:rsidRPr="003B75DD">
        <w:rPr>
          <w:rFonts w:asciiTheme="minorHAnsi" w:hAnsiTheme="minorHAnsi" w:cstheme="minorHAnsi"/>
          <w:b/>
          <w:bCs/>
          <w:i/>
          <w:iCs/>
          <w:sz w:val="22"/>
          <w:szCs w:val="22"/>
          <w:lang w:val="fr-BE"/>
        </w:rPr>
        <w:t>sans caution</w:t>
      </w:r>
      <w:r w:rsidRPr="00F66B2F">
        <w:rPr>
          <w:rFonts w:asciiTheme="minorHAnsi" w:hAnsiTheme="minorHAnsi" w:cstheme="minorHAnsi"/>
          <w:sz w:val="22"/>
          <w:szCs w:val="22"/>
          <w:lang w:val="fr-BE"/>
        </w:rPr>
        <w:t>.</w:t>
      </w:r>
      <w:r>
        <w:rPr>
          <w:rFonts w:asciiTheme="minorHAnsi" w:hAnsiTheme="minorHAnsi" w:cstheme="minorHAnsi"/>
          <w:sz w:val="22"/>
          <w:szCs w:val="22"/>
          <w:lang w:val="fr-BE"/>
        </w:rPr>
        <w:t> »</w:t>
      </w:r>
    </w:p>
    <w:p w14:paraId="0F6F0DD8" w14:textId="77777777" w:rsidR="00A0452F" w:rsidRDefault="00A0452F"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5D152737" w14:textId="16D99371" w:rsidR="00A52954" w:rsidRDefault="00A52954" w:rsidP="00D368C9">
      <w:pPr>
        <w:pStyle w:val="Liste"/>
        <w:spacing w:before="100" w:beforeAutospacing="1" w:after="100" w:afterAutospacing="1"/>
        <w:ind w:left="0" w:firstLine="0"/>
        <w:contextualSpacing/>
        <w:jc w:val="both"/>
        <w:rPr>
          <w:rFonts w:asciiTheme="minorHAnsi" w:hAnsiTheme="minorHAnsi" w:cstheme="minorHAnsi"/>
          <w:sz w:val="22"/>
          <w:szCs w:val="22"/>
          <w:lang w:val="fr-BE"/>
        </w:rPr>
      </w:pPr>
      <w:r w:rsidRPr="00A52954">
        <w:rPr>
          <w:rFonts w:asciiTheme="minorHAnsi" w:hAnsiTheme="minorHAnsi" w:cstheme="minorHAnsi"/>
          <w:sz w:val="22"/>
          <w:szCs w:val="22"/>
          <w:lang w:val="fr-BE"/>
        </w:rPr>
        <w:t xml:space="preserve">Le </w:t>
      </w:r>
      <w:r w:rsidR="00FB4541">
        <w:rPr>
          <w:rFonts w:asciiTheme="minorHAnsi" w:hAnsiTheme="minorHAnsi" w:cstheme="minorHAnsi"/>
          <w:sz w:val="22"/>
          <w:szCs w:val="22"/>
          <w:lang w:val="fr-BE"/>
        </w:rPr>
        <w:t xml:space="preserve">requérant </w:t>
      </w:r>
      <w:r w:rsidR="00DB0772">
        <w:rPr>
          <w:rFonts w:asciiTheme="minorHAnsi" w:hAnsiTheme="minorHAnsi" w:cstheme="minorHAnsi"/>
          <w:sz w:val="22"/>
          <w:szCs w:val="22"/>
          <w:lang w:val="fr-BE"/>
        </w:rPr>
        <w:t>et l’intervenant v</w:t>
      </w:r>
      <w:r w:rsidR="00171727">
        <w:rPr>
          <w:rFonts w:asciiTheme="minorHAnsi" w:hAnsiTheme="minorHAnsi" w:cstheme="minorHAnsi"/>
          <w:sz w:val="22"/>
          <w:szCs w:val="22"/>
          <w:lang w:val="fr-BE"/>
        </w:rPr>
        <w:t>o</w:t>
      </w:r>
      <w:r w:rsidR="00DB0772">
        <w:rPr>
          <w:rFonts w:asciiTheme="minorHAnsi" w:hAnsiTheme="minorHAnsi" w:cstheme="minorHAnsi"/>
          <w:sz w:val="22"/>
          <w:szCs w:val="22"/>
          <w:lang w:val="fr-BE"/>
        </w:rPr>
        <w:t>lontaire</w:t>
      </w:r>
      <w:r w:rsidRPr="00A52954">
        <w:rPr>
          <w:rFonts w:asciiTheme="minorHAnsi" w:hAnsiTheme="minorHAnsi" w:cstheme="minorHAnsi"/>
          <w:sz w:val="22"/>
          <w:szCs w:val="22"/>
          <w:lang w:val="fr-BE"/>
        </w:rPr>
        <w:t xml:space="preserve"> sollicitent d'entendre dire pour droit que la présente ordonnance soit exécutoire par provision, nonobstant tout recours et sans caution ni cantonnement. </w:t>
      </w:r>
    </w:p>
    <w:p w14:paraId="5F4A4819" w14:textId="77777777" w:rsidR="00A52954" w:rsidRDefault="00A52954" w:rsidP="00D368C9">
      <w:pPr>
        <w:pStyle w:val="Liste"/>
        <w:spacing w:before="100" w:beforeAutospacing="1" w:after="100" w:afterAutospacing="1"/>
        <w:ind w:left="0" w:firstLine="0"/>
        <w:contextualSpacing/>
        <w:jc w:val="both"/>
        <w:rPr>
          <w:rFonts w:asciiTheme="minorHAnsi" w:hAnsiTheme="minorHAnsi" w:cstheme="minorHAnsi"/>
          <w:sz w:val="22"/>
          <w:szCs w:val="22"/>
          <w:lang w:val="fr-BE"/>
        </w:rPr>
      </w:pPr>
    </w:p>
    <w:p w14:paraId="2E37FF08" w14:textId="65FD740A" w:rsidR="00A52954" w:rsidRDefault="00A52954" w:rsidP="00D368C9">
      <w:pPr>
        <w:pStyle w:val="Liste"/>
        <w:spacing w:before="100" w:beforeAutospacing="1" w:after="100" w:afterAutospacing="1"/>
        <w:ind w:left="0" w:firstLine="0"/>
        <w:contextualSpacing/>
        <w:jc w:val="both"/>
        <w:rPr>
          <w:rFonts w:asciiTheme="minorHAnsi" w:hAnsiTheme="minorHAnsi" w:cstheme="minorHAnsi"/>
          <w:sz w:val="22"/>
          <w:szCs w:val="22"/>
          <w:lang w:val="fr-BE"/>
        </w:rPr>
      </w:pPr>
      <w:r w:rsidRPr="00A52954">
        <w:rPr>
          <w:rFonts w:asciiTheme="minorHAnsi" w:hAnsiTheme="minorHAnsi" w:cstheme="minorHAnsi"/>
          <w:sz w:val="22"/>
          <w:szCs w:val="22"/>
          <w:lang w:val="fr-BE"/>
        </w:rPr>
        <w:t xml:space="preserve">Il </w:t>
      </w:r>
      <w:r>
        <w:rPr>
          <w:rFonts w:asciiTheme="minorHAnsi" w:hAnsiTheme="minorHAnsi" w:cstheme="minorHAnsi"/>
          <w:sz w:val="22"/>
          <w:szCs w:val="22"/>
          <w:lang w:val="fr-BE"/>
        </w:rPr>
        <w:t xml:space="preserve">y a lieu </w:t>
      </w:r>
      <w:r w:rsidRPr="00A52954">
        <w:rPr>
          <w:rFonts w:asciiTheme="minorHAnsi" w:hAnsiTheme="minorHAnsi" w:cstheme="minorHAnsi"/>
          <w:sz w:val="22"/>
          <w:szCs w:val="22"/>
          <w:lang w:val="fr-BE"/>
        </w:rPr>
        <w:t>de faire droit à cette demande, l'exécution provisoire du jugement statuant comme en référé étant de droit</w:t>
      </w:r>
      <w:r w:rsidR="00BB264B">
        <w:rPr>
          <w:rFonts w:asciiTheme="minorHAnsi" w:hAnsiTheme="minorHAnsi" w:cstheme="minorHAnsi"/>
          <w:sz w:val="22"/>
          <w:szCs w:val="22"/>
          <w:lang w:val="fr-BE"/>
        </w:rPr>
        <w:t>, sans compter que ce raisonnement s’aligne avec le prescrit de la règle générale fixée à l’article 1397 du Code judiciaire.</w:t>
      </w:r>
    </w:p>
    <w:p w14:paraId="0B49E70E" w14:textId="77777777" w:rsidR="00007555" w:rsidRDefault="00007555" w:rsidP="00D368C9">
      <w:pPr>
        <w:pStyle w:val="Liste"/>
        <w:spacing w:before="100" w:beforeAutospacing="1" w:after="100" w:afterAutospacing="1"/>
        <w:ind w:left="0" w:firstLine="0"/>
        <w:contextualSpacing/>
        <w:jc w:val="both"/>
        <w:rPr>
          <w:rFonts w:asciiTheme="minorHAnsi" w:hAnsiTheme="minorHAnsi" w:cstheme="minorHAnsi"/>
          <w:sz w:val="22"/>
          <w:szCs w:val="22"/>
          <w:lang w:val="fr-BE"/>
        </w:rPr>
      </w:pPr>
    </w:p>
    <w:p w14:paraId="67841F2C" w14:textId="7E3BA238" w:rsidR="00007555" w:rsidRDefault="008A4D4D" w:rsidP="00D368C9">
      <w:pPr>
        <w:pStyle w:val="Liste"/>
        <w:spacing w:before="100" w:beforeAutospacing="1" w:after="100" w:afterAutospacing="1"/>
        <w:ind w:left="0" w:firstLine="0"/>
        <w:contextualSpacing/>
        <w:jc w:val="both"/>
        <w:rPr>
          <w:rFonts w:asciiTheme="minorHAnsi" w:hAnsiTheme="minorHAnsi" w:cstheme="minorHAnsi"/>
          <w:sz w:val="22"/>
          <w:szCs w:val="22"/>
          <w:lang w:val="fr-BE"/>
        </w:rPr>
      </w:pPr>
      <w:r>
        <w:rPr>
          <w:rFonts w:asciiTheme="minorHAnsi" w:hAnsiTheme="minorHAnsi" w:cstheme="minorHAnsi"/>
          <w:sz w:val="22"/>
          <w:szCs w:val="22"/>
          <w:lang w:val="fr-BE"/>
        </w:rPr>
        <w:t xml:space="preserve">Quant au cantonnement, </w:t>
      </w:r>
      <w:r w:rsidR="00C74117">
        <w:rPr>
          <w:rFonts w:asciiTheme="minorHAnsi" w:hAnsiTheme="minorHAnsi" w:cstheme="minorHAnsi"/>
          <w:sz w:val="22"/>
          <w:szCs w:val="22"/>
          <w:lang w:val="fr-BE"/>
        </w:rPr>
        <w:t xml:space="preserve">et comme le rappelle à juste titre l’OTW, </w:t>
      </w:r>
      <w:r w:rsidR="000D25F0">
        <w:rPr>
          <w:rFonts w:asciiTheme="minorHAnsi" w:hAnsiTheme="minorHAnsi" w:cstheme="minorHAnsi"/>
          <w:sz w:val="22"/>
          <w:szCs w:val="22"/>
          <w:lang w:val="fr-BE"/>
        </w:rPr>
        <w:t xml:space="preserve">il s’agit d’un droit pour le débiteur, en vertu de l’article </w:t>
      </w:r>
      <w:r w:rsidR="003B0DC6">
        <w:rPr>
          <w:rFonts w:asciiTheme="minorHAnsi" w:hAnsiTheme="minorHAnsi" w:cstheme="minorHAnsi"/>
          <w:sz w:val="22"/>
          <w:szCs w:val="22"/>
          <w:lang w:val="fr-BE"/>
        </w:rPr>
        <w:t>1406 du Code judiciaire</w:t>
      </w:r>
      <w:r w:rsidR="004204CE">
        <w:rPr>
          <w:rFonts w:asciiTheme="minorHAnsi" w:hAnsiTheme="minorHAnsi" w:cstheme="minorHAnsi"/>
          <w:sz w:val="22"/>
          <w:szCs w:val="22"/>
          <w:lang w:val="fr-BE"/>
        </w:rPr>
        <w:t> :</w:t>
      </w:r>
    </w:p>
    <w:p w14:paraId="1DA1AFD6" w14:textId="77777777" w:rsidR="004204CE" w:rsidRDefault="004204CE" w:rsidP="00D368C9">
      <w:pPr>
        <w:pStyle w:val="Liste"/>
        <w:spacing w:before="100" w:beforeAutospacing="1" w:after="100" w:afterAutospacing="1"/>
        <w:ind w:left="0" w:firstLine="0"/>
        <w:contextualSpacing/>
        <w:jc w:val="both"/>
        <w:rPr>
          <w:rFonts w:asciiTheme="minorHAnsi" w:hAnsiTheme="minorHAnsi" w:cstheme="minorHAnsi"/>
          <w:sz w:val="22"/>
          <w:szCs w:val="22"/>
          <w:lang w:val="fr-BE"/>
        </w:rPr>
      </w:pPr>
    </w:p>
    <w:p w14:paraId="554E7066" w14:textId="000EE68F" w:rsidR="004204CE" w:rsidRPr="004204CE" w:rsidRDefault="004204CE" w:rsidP="004204CE">
      <w:pPr>
        <w:pStyle w:val="Liste"/>
        <w:spacing w:before="100" w:beforeAutospacing="1" w:after="100" w:afterAutospacing="1"/>
        <w:ind w:left="567" w:firstLine="0"/>
        <w:contextualSpacing/>
        <w:jc w:val="both"/>
        <w:rPr>
          <w:rFonts w:asciiTheme="minorHAnsi" w:hAnsiTheme="minorHAnsi" w:cstheme="minorHAnsi"/>
          <w:i/>
          <w:iCs/>
          <w:sz w:val="22"/>
          <w:szCs w:val="22"/>
          <w:lang w:val="fr-BE"/>
        </w:rPr>
      </w:pPr>
      <w:r w:rsidRPr="004204CE">
        <w:rPr>
          <w:rFonts w:asciiTheme="minorHAnsi" w:hAnsiTheme="minorHAnsi" w:cstheme="minorHAnsi"/>
          <w:i/>
          <w:iCs/>
          <w:sz w:val="22"/>
          <w:szCs w:val="22"/>
          <w:lang w:val="fr-BE"/>
        </w:rPr>
        <w:t xml:space="preserve">« Le juge qui statue sur le fonds de la demande </w:t>
      </w:r>
      <w:r w:rsidRPr="004204CE">
        <w:rPr>
          <w:rFonts w:asciiTheme="minorHAnsi" w:hAnsiTheme="minorHAnsi" w:cstheme="minorHAnsi"/>
          <w:b/>
          <w:bCs/>
          <w:i/>
          <w:iCs/>
          <w:sz w:val="22"/>
          <w:szCs w:val="22"/>
          <w:lang w:val="fr-BE"/>
        </w:rPr>
        <w:t>peut décider</w:t>
      </w:r>
      <w:r w:rsidRPr="004204CE">
        <w:rPr>
          <w:rFonts w:asciiTheme="minorHAnsi" w:hAnsiTheme="minorHAnsi" w:cstheme="minorHAnsi"/>
          <w:i/>
          <w:iCs/>
          <w:sz w:val="22"/>
          <w:szCs w:val="22"/>
          <w:lang w:val="fr-BE"/>
        </w:rPr>
        <w:t xml:space="preserve"> qu'il n'y a </w:t>
      </w:r>
      <w:r w:rsidRPr="004204CE">
        <w:rPr>
          <w:rFonts w:asciiTheme="minorHAnsi" w:hAnsiTheme="minorHAnsi" w:cstheme="minorHAnsi"/>
          <w:b/>
          <w:bCs/>
          <w:i/>
          <w:iCs/>
          <w:sz w:val="22"/>
          <w:szCs w:val="22"/>
          <w:lang w:val="fr-BE"/>
        </w:rPr>
        <w:t>pas lieu à cantonnement</w:t>
      </w:r>
      <w:r w:rsidRPr="004204CE">
        <w:rPr>
          <w:rFonts w:asciiTheme="minorHAnsi" w:hAnsiTheme="minorHAnsi" w:cstheme="minorHAnsi"/>
          <w:i/>
          <w:iCs/>
          <w:sz w:val="22"/>
          <w:szCs w:val="22"/>
          <w:lang w:val="fr-BE"/>
        </w:rPr>
        <w:t xml:space="preserve"> pour tout ou partie des condamnations qu'il prononce, </w:t>
      </w:r>
      <w:r w:rsidRPr="004204CE">
        <w:rPr>
          <w:rFonts w:asciiTheme="minorHAnsi" w:hAnsiTheme="minorHAnsi" w:cstheme="minorHAnsi"/>
          <w:b/>
          <w:bCs/>
          <w:i/>
          <w:iCs/>
          <w:sz w:val="22"/>
          <w:szCs w:val="22"/>
          <w:lang w:val="fr-BE"/>
        </w:rPr>
        <w:t>si le retard apporté</w:t>
      </w:r>
      <w:r w:rsidRPr="004204CE">
        <w:rPr>
          <w:rFonts w:asciiTheme="minorHAnsi" w:hAnsiTheme="minorHAnsi" w:cstheme="minorHAnsi"/>
          <w:i/>
          <w:iCs/>
          <w:sz w:val="22"/>
          <w:szCs w:val="22"/>
          <w:lang w:val="fr-BE"/>
        </w:rPr>
        <w:t xml:space="preserve"> au règlement </w:t>
      </w:r>
      <w:r w:rsidRPr="004204CE">
        <w:rPr>
          <w:rFonts w:asciiTheme="minorHAnsi" w:hAnsiTheme="minorHAnsi" w:cstheme="minorHAnsi"/>
          <w:b/>
          <w:bCs/>
          <w:i/>
          <w:iCs/>
          <w:sz w:val="22"/>
          <w:szCs w:val="22"/>
          <w:lang w:val="fr-BE"/>
        </w:rPr>
        <w:t>expose le créancier à un préjudice grave</w:t>
      </w:r>
      <w:r w:rsidRPr="004204CE">
        <w:rPr>
          <w:rFonts w:asciiTheme="minorHAnsi" w:hAnsiTheme="minorHAnsi" w:cstheme="minorHAnsi"/>
          <w:i/>
          <w:iCs/>
          <w:sz w:val="22"/>
          <w:szCs w:val="22"/>
          <w:lang w:val="fr-BE"/>
        </w:rPr>
        <w:t>. »</w:t>
      </w:r>
    </w:p>
    <w:p w14:paraId="15D06EA1" w14:textId="77777777" w:rsidR="00F66B2F" w:rsidRPr="00A52954" w:rsidRDefault="00F66B2F" w:rsidP="00D368C9">
      <w:pPr>
        <w:pStyle w:val="Liste"/>
        <w:spacing w:before="100" w:beforeAutospacing="1" w:after="100" w:afterAutospacing="1"/>
        <w:ind w:left="0" w:firstLine="0"/>
        <w:contextualSpacing/>
        <w:jc w:val="both"/>
        <w:rPr>
          <w:rFonts w:asciiTheme="minorHAnsi" w:hAnsiTheme="minorHAnsi" w:cstheme="minorHAnsi"/>
          <w:sz w:val="22"/>
          <w:szCs w:val="22"/>
          <w:lang w:val="fr-BE"/>
        </w:rPr>
      </w:pPr>
    </w:p>
    <w:p w14:paraId="5694601F" w14:textId="13026B8A" w:rsidR="00A52954" w:rsidRDefault="00DF75CC" w:rsidP="00D368C9">
      <w:pPr>
        <w:pStyle w:val="Liste"/>
        <w:spacing w:before="100" w:beforeAutospacing="1" w:after="100" w:afterAutospacing="1"/>
        <w:ind w:left="0"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L’OTW avance que Monsieur </w:t>
      </w:r>
      <w:r w:rsidR="00AC7907">
        <w:rPr>
          <w:rFonts w:asciiTheme="minorHAnsi" w:hAnsiTheme="minorHAnsi" w:cstheme="minorHAnsi"/>
          <w:sz w:val="22"/>
          <w:szCs w:val="22"/>
        </w:rPr>
        <w:t>P</w:t>
      </w:r>
      <w:r>
        <w:rPr>
          <w:rFonts w:asciiTheme="minorHAnsi" w:hAnsiTheme="minorHAnsi" w:cstheme="minorHAnsi"/>
          <w:sz w:val="22"/>
          <w:szCs w:val="22"/>
        </w:rPr>
        <w:t xml:space="preserve"> ne démontre pas de préjudice grave</w:t>
      </w:r>
      <w:r w:rsidR="00B227D2">
        <w:rPr>
          <w:rFonts w:asciiTheme="minorHAnsi" w:hAnsiTheme="minorHAnsi" w:cstheme="minorHAnsi"/>
          <w:sz w:val="22"/>
          <w:szCs w:val="22"/>
        </w:rPr>
        <w:t xml:space="preserve"> qui résulterait du retard de paiements des montants dus suite à la présente ordonnance. </w:t>
      </w:r>
    </w:p>
    <w:p w14:paraId="6BC83D21" w14:textId="77777777" w:rsidR="009C29DE" w:rsidRDefault="009C29DE"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2BCA8C1A" w14:textId="77A61A49" w:rsidR="00AB1F9E" w:rsidRDefault="009C29DE" w:rsidP="00D368C9">
      <w:pPr>
        <w:pStyle w:val="Liste"/>
        <w:spacing w:before="100" w:beforeAutospacing="1" w:after="100" w:afterAutospacing="1"/>
        <w:ind w:left="0"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Monsieur </w:t>
      </w:r>
      <w:r w:rsidR="00AC7907">
        <w:rPr>
          <w:rFonts w:asciiTheme="minorHAnsi" w:hAnsiTheme="minorHAnsi" w:cstheme="minorHAnsi"/>
          <w:sz w:val="22"/>
          <w:szCs w:val="22"/>
        </w:rPr>
        <w:t>P</w:t>
      </w:r>
      <w:r>
        <w:rPr>
          <w:rFonts w:asciiTheme="minorHAnsi" w:hAnsiTheme="minorHAnsi" w:cstheme="minorHAnsi"/>
          <w:sz w:val="22"/>
          <w:szCs w:val="22"/>
        </w:rPr>
        <w:t xml:space="preserve"> </w:t>
      </w:r>
      <w:r w:rsidR="00344511">
        <w:rPr>
          <w:rFonts w:asciiTheme="minorHAnsi" w:hAnsiTheme="minorHAnsi" w:cstheme="minorHAnsi"/>
          <w:sz w:val="22"/>
          <w:szCs w:val="22"/>
        </w:rPr>
        <w:t>estime que le préjudice grave qu’il encourt consiste à voir des rémunérations qui lui reviennent être cantonnées.</w:t>
      </w:r>
      <w:r w:rsidR="00CA3252">
        <w:rPr>
          <w:rFonts w:asciiTheme="minorHAnsi" w:hAnsiTheme="minorHAnsi" w:cstheme="minorHAnsi"/>
          <w:sz w:val="22"/>
          <w:szCs w:val="22"/>
        </w:rPr>
        <w:t xml:space="preserve"> </w:t>
      </w:r>
    </w:p>
    <w:p w14:paraId="118BFD92" w14:textId="77777777" w:rsidR="00E5760F" w:rsidRDefault="00E5760F"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00041878" w14:textId="7922A46F" w:rsidR="00E5760F" w:rsidRDefault="00E5760F" w:rsidP="00D368C9">
      <w:pPr>
        <w:pStyle w:val="Liste"/>
        <w:spacing w:before="100" w:beforeAutospacing="1" w:after="100" w:afterAutospacing="1"/>
        <w:ind w:left="0"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Le président ne peut suivre la thèse de Monsieur </w:t>
      </w:r>
      <w:r w:rsidR="00AC7907">
        <w:rPr>
          <w:rFonts w:asciiTheme="minorHAnsi" w:hAnsiTheme="minorHAnsi" w:cstheme="minorHAnsi"/>
          <w:sz w:val="22"/>
          <w:szCs w:val="22"/>
        </w:rPr>
        <w:t>P</w:t>
      </w:r>
      <w:r>
        <w:rPr>
          <w:rFonts w:asciiTheme="minorHAnsi" w:hAnsiTheme="minorHAnsi" w:cstheme="minorHAnsi"/>
          <w:sz w:val="22"/>
          <w:szCs w:val="22"/>
        </w:rPr>
        <w:t xml:space="preserve"> :   </w:t>
      </w:r>
      <w:r w:rsidR="005B2B42">
        <w:rPr>
          <w:rFonts w:asciiTheme="minorHAnsi" w:hAnsiTheme="minorHAnsi" w:cstheme="minorHAnsi"/>
          <w:sz w:val="22"/>
          <w:szCs w:val="22"/>
        </w:rPr>
        <w:t xml:space="preserve">son action vise surtout à voire cesser une discrimination et lui permettre de reprendre le travail à mi-temps, et l’indemnisation forfaitaire </w:t>
      </w:r>
      <w:r w:rsidR="00ED55AE">
        <w:rPr>
          <w:rFonts w:asciiTheme="minorHAnsi" w:hAnsiTheme="minorHAnsi" w:cstheme="minorHAnsi"/>
          <w:sz w:val="22"/>
          <w:szCs w:val="22"/>
        </w:rPr>
        <w:t>réclamée porte surtout sur la réparation d’un dommage moral</w:t>
      </w:r>
      <w:r w:rsidR="0023637C">
        <w:rPr>
          <w:rFonts w:asciiTheme="minorHAnsi" w:hAnsiTheme="minorHAnsi" w:cstheme="minorHAnsi"/>
          <w:sz w:val="22"/>
          <w:szCs w:val="22"/>
        </w:rPr>
        <w:t>, et pas à proprement parler sur le paiement de rémunérations.</w:t>
      </w:r>
    </w:p>
    <w:p w14:paraId="4284EB06" w14:textId="77777777" w:rsidR="0023637C" w:rsidRDefault="0023637C"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29E95A2E" w14:textId="64B95C10" w:rsidR="0023637C" w:rsidRDefault="0023637C" w:rsidP="00D368C9">
      <w:pPr>
        <w:pStyle w:val="Liste"/>
        <w:spacing w:before="100" w:beforeAutospacing="1" w:after="100" w:afterAutospacing="1"/>
        <w:ind w:left="0"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Enfin, le président </w:t>
      </w:r>
      <w:r w:rsidR="00F91EA9">
        <w:rPr>
          <w:rFonts w:asciiTheme="minorHAnsi" w:hAnsiTheme="minorHAnsi" w:cstheme="minorHAnsi"/>
          <w:sz w:val="22"/>
          <w:szCs w:val="22"/>
        </w:rPr>
        <w:t xml:space="preserve">estime que le retard du paiement de l’indemnité forfaitaire limitée à 3 mois n’expose pas Monsieur </w:t>
      </w:r>
      <w:r w:rsidR="00AC7907">
        <w:rPr>
          <w:rFonts w:asciiTheme="minorHAnsi" w:hAnsiTheme="minorHAnsi" w:cstheme="minorHAnsi"/>
          <w:sz w:val="22"/>
          <w:szCs w:val="22"/>
        </w:rPr>
        <w:t>P</w:t>
      </w:r>
      <w:r w:rsidR="00F91EA9">
        <w:rPr>
          <w:rFonts w:asciiTheme="minorHAnsi" w:hAnsiTheme="minorHAnsi" w:cstheme="minorHAnsi"/>
          <w:sz w:val="22"/>
          <w:szCs w:val="22"/>
        </w:rPr>
        <w:t xml:space="preserve"> à un préjudice grave.</w:t>
      </w:r>
    </w:p>
    <w:p w14:paraId="72E060BD" w14:textId="77777777" w:rsidR="00C84F02" w:rsidRDefault="00C84F02"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10156BE7" w14:textId="1A37A791" w:rsidR="00C84F02" w:rsidRDefault="00C84F02" w:rsidP="00D368C9">
      <w:pPr>
        <w:pStyle w:val="Liste"/>
        <w:spacing w:before="100" w:beforeAutospacing="1" w:after="100" w:afterAutospacing="1"/>
        <w:ind w:left="0" w:firstLine="0"/>
        <w:contextualSpacing/>
        <w:jc w:val="both"/>
        <w:rPr>
          <w:rFonts w:asciiTheme="minorHAnsi" w:hAnsiTheme="minorHAnsi" w:cstheme="minorHAnsi"/>
          <w:sz w:val="22"/>
          <w:szCs w:val="22"/>
        </w:rPr>
      </w:pPr>
      <w:r>
        <w:rPr>
          <w:rFonts w:asciiTheme="minorHAnsi" w:hAnsiTheme="minorHAnsi" w:cstheme="minorHAnsi"/>
          <w:sz w:val="22"/>
          <w:szCs w:val="22"/>
        </w:rPr>
        <w:t xml:space="preserve">Le président autorise l’OTW à cantonner </w:t>
      </w:r>
      <w:r w:rsidR="00435009">
        <w:rPr>
          <w:rFonts w:asciiTheme="minorHAnsi" w:hAnsiTheme="minorHAnsi" w:cstheme="minorHAnsi"/>
          <w:sz w:val="22"/>
          <w:szCs w:val="22"/>
        </w:rPr>
        <w:t>les sommes auxquelles il est condamné auprès de la Caisse de Dépôt</w:t>
      </w:r>
      <w:r w:rsidR="00D21909">
        <w:rPr>
          <w:rFonts w:asciiTheme="minorHAnsi" w:hAnsiTheme="minorHAnsi" w:cstheme="minorHAnsi"/>
          <w:sz w:val="22"/>
          <w:szCs w:val="22"/>
        </w:rPr>
        <w:t>s</w:t>
      </w:r>
      <w:r w:rsidR="00435009">
        <w:rPr>
          <w:rFonts w:asciiTheme="minorHAnsi" w:hAnsiTheme="minorHAnsi" w:cstheme="minorHAnsi"/>
          <w:sz w:val="22"/>
          <w:szCs w:val="22"/>
        </w:rPr>
        <w:t xml:space="preserve"> et Consignation</w:t>
      </w:r>
      <w:r w:rsidR="00D21909">
        <w:rPr>
          <w:rFonts w:asciiTheme="minorHAnsi" w:hAnsiTheme="minorHAnsi" w:cstheme="minorHAnsi"/>
          <w:sz w:val="22"/>
          <w:szCs w:val="22"/>
        </w:rPr>
        <w:t>s</w:t>
      </w:r>
      <w:r w:rsidR="00435009">
        <w:rPr>
          <w:rFonts w:asciiTheme="minorHAnsi" w:hAnsiTheme="minorHAnsi" w:cstheme="minorHAnsi"/>
          <w:sz w:val="22"/>
          <w:szCs w:val="22"/>
        </w:rPr>
        <w:t>.</w:t>
      </w:r>
    </w:p>
    <w:p w14:paraId="47C940C8" w14:textId="77777777" w:rsidR="00AB1F9E" w:rsidRDefault="00AB1F9E"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23D0C085" w14:textId="4F2465C8" w:rsidR="00942103" w:rsidRDefault="00942103"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33883F18" w14:textId="77777777" w:rsidR="00942103" w:rsidRDefault="00942103" w:rsidP="00D368C9">
      <w:pPr>
        <w:pStyle w:val="Liste"/>
        <w:spacing w:before="100" w:beforeAutospacing="1" w:after="100" w:afterAutospacing="1"/>
        <w:ind w:left="0" w:firstLine="0"/>
        <w:contextualSpacing/>
        <w:jc w:val="both"/>
        <w:rPr>
          <w:rFonts w:asciiTheme="minorHAnsi" w:hAnsiTheme="minorHAnsi" w:cstheme="minorHAnsi"/>
          <w:sz w:val="22"/>
          <w:szCs w:val="22"/>
        </w:rPr>
      </w:pPr>
    </w:p>
    <w:p w14:paraId="40AB5FD1" w14:textId="790DBEF7" w:rsidR="00A41FC4" w:rsidRPr="006E3CAB" w:rsidRDefault="00A41FC4" w:rsidP="00677ABC">
      <w:pPr>
        <w:pStyle w:val="Liste"/>
        <w:numPr>
          <w:ilvl w:val="0"/>
          <w:numId w:val="21"/>
        </w:numPr>
        <w:spacing w:before="100" w:beforeAutospacing="1" w:after="100" w:afterAutospacing="1"/>
        <w:contextualSpacing/>
        <w:jc w:val="both"/>
        <w:rPr>
          <w:rFonts w:asciiTheme="minorHAnsi" w:hAnsiTheme="minorHAnsi" w:cstheme="minorHAnsi"/>
          <w:b/>
          <w:bCs/>
          <w:sz w:val="22"/>
          <w:szCs w:val="22"/>
          <w:u w:val="single"/>
        </w:rPr>
      </w:pPr>
      <w:r w:rsidRPr="006E3CAB">
        <w:rPr>
          <w:rFonts w:asciiTheme="minorHAnsi" w:hAnsiTheme="minorHAnsi" w:cstheme="minorHAnsi"/>
          <w:b/>
          <w:bCs/>
          <w:sz w:val="22"/>
          <w:szCs w:val="22"/>
          <w:u w:val="single"/>
        </w:rPr>
        <w:t>D</w:t>
      </w:r>
      <w:r w:rsidR="00677ABC">
        <w:rPr>
          <w:rFonts w:asciiTheme="minorHAnsi" w:hAnsiTheme="minorHAnsi" w:cstheme="minorHAnsi"/>
          <w:b/>
          <w:bCs/>
          <w:sz w:val="22"/>
          <w:szCs w:val="22"/>
          <w:u w:val="single"/>
        </w:rPr>
        <w:t>épens</w:t>
      </w:r>
    </w:p>
    <w:p w14:paraId="3F7B9DD7" w14:textId="77777777" w:rsidR="00A41FC4" w:rsidRPr="006E3CAB" w:rsidRDefault="00A41FC4"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4B53E1C1" w14:textId="6A7192FF" w:rsidR="000F0CE4" w:rsidRPr="00414F03" w:rsidRDefault="000F0CE4"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414F03">
        <w:rPr>
          <w:rFonts w:asciiTheme="minorHAnsi" w:hAnsiTheme="minorHAnsi" w:cstheme="minorHAnsi"/>
          <w:bCs/>
          <w:sz w:val="22"/>
          <w:szCs w:val="22"/>
        </w:rPr>
        <w:t>La partie défenderesse succombe</w:t>
      </w:r>
      <w:r w:rsidR="00F477C5">
        <w:rPr>
          <w:rFonts w:asciiTheme="minorHAnsi" w:hAnsiTheme="minorHAnsi" w:cstheme="minorHAnsi"/>
          <w:bCs/>
          <w:sz w:val="22"/>
          <w:szCs w:val="22"/>
        </w:rPr>
        <w:t xml:space="preserve"> sur l’objet principal du litige (discrimination indirecte)</w:t>
      </w:r>
      <w:r w:rsidRPr="00414F03">
        <w:rPr>
          <w:rFonts w:asciiTheme="minorHAnsi" w:hAnsiTheme="minorHAnsi" w:cstheme="minorHAnsi"/>
          <w:bCs/>
          <w:sz w:val="22"/>
          <w:szCs w:val="22"/>
        </w:rPr>
        <w:t>, et devra supporte</w:t>
      </w:r>
      <w:r w:rsidR="00140293">
        <w:rPr>
          <w:rFonts w:asciiTheme="minorHAnsi" w:hAnsiTheme="minorHAnsi" w:cstheme="minorHAnsi"/>
          <w:bCs/>
          <w:sz w:val="22"/>
          <w:szCs w:val="22"/>
        </w:rPr>
        <w:t>r</w:t>
      </w:r>
      <w:r w:rsidR="00F477C5">
        <w:rPr>
          <w:rFonts w:asciiTheme="minorHAnsi" w:hAnsiTheme="minorHAnsi" w:cstheme="minorHAnsi"/>
          <w:bCs/>
          <w:sz w:val="22"/>
          <w:szCs w:val="22"/>
        </w:rPr>
        <w:t xml:space="preserve"> les dépens</w:t>
      </w:r>
      <w:r w:rsidRPr="00414F03">
        <w:rPr>
          <w:rFonts w:asciiTheme="minorHAnsi" w:hAnsiTheme="minorHAnsi" w:cstheme="minorHAnsi"/>
          <w:bCs/>
          <w:sz w:val="22"/>
          <w:szCs w:val="22"/>
        </w:rPr>
        <w:t>.</w:t>
      </w:r>
    </w:p>
    <w:p w14:paraId="6C089575" w14:textId="77777777" w:rsidR="000F0CE4" w:rsidRPr="00414F03" w:rsidRDefault="000F0CE4"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205A9C5F" w14:textId="2D249BA3" w:rsidR="000F0CE4" w:rsidRPr="00414F03" w:rsidRDefault="000F0CE4"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414F03">
        <w:rPr>
          <w:rFonts w:asciiTheme="minorHAnsi" w:hAnsiTheme="minorHAnsi" w:cstheme="minorHAnsi"/>
          <w:bCs/>
          <w:sz w:val="22"/>
          <w:szCs w:val="22"/>
        </w:rPr>
        <w:t xml:space="preserve">L’affaire n’étant pas évaluable en argent et de la compétence du tribunal du travail, le montant de base de l’indemnité de procédure est de </w:t>
      </w:r>
      <w:r w:rsidRPr="00414F03">
        <w:rPr>
          <w:rFonts w:asciiTheme="minorHAnsi" w:hAnsiTheme="minorHAnsi" w:cstheme="minorHAnsi"/>
          <w:bCs/>
          <w:sz w:val="22"/>
          <w:szCs w:val="22"/>
          <w:u w:val="single"/>
        </w:rPr>
        <w:t>1.800 €</w:t>
      </w:r>
      <w:r w:rsidRPr="00414F03">
        <w:rPr>
          <w:rFonts w:asciiTheme="minorHAnsi" w:hAnsiTheme="minorHAnsi" w:cstheme="minorHAnsi"/>
          <w:bCs/>
          <w:sz w:val="22"/>
          <w:szCs w:val="22"/>
        </w:rPr>
        <w:t xml:space="preserve"> (montant de base applicable aux affaires classiques et non évaluables en argent de la compétence du tribunal du travail, et hors champs d’application de l’article 4 de l’AR du 26/10/2007, qui ne vise que les procédures visées par les articles 579 et 1017, alinéa 2, du Code judiciaire).</w:t>
      </w:r>
    </w:p>
    <w:p w14:paraId="4F2DAD85" w14:textId="77777777" w:rsidR="000F0CE4" w:rsidRPr="00414F03" w:rsidRDefault="000F0CE4"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2666AC52" w14:textId="73C5814D" w:rsidR="000F0CE4" w:rsidRPr="00414F03" w:rsidRDefault="000F0CE4"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sidRPr="00414F03">
        <w:rPr>
          <w:rFonts w:asciiTheme="minorHAnsi" w:hAnsiTheme="minorHAnsi" w:cstheme="minorHAnsi"/>
          <w:bCs/>
          <w:sz w:val="22"/>
          <w:szCs w:val="22"/>
        </w:rPr>
        <w:t xml:space="preserve">Malgré la complexité de l’affaire, et ses développements, le montant de base prévu par la loi apparait justifié. </w:t>
      </w:r>
    </w:p>
    <w:p w14:paraId="410CA347" w14:textId="77777777" w:rsidR="00776048" w:rsidRPr="00414F03" w:rsidRDefault="00776048"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385C49A6" w14:textId="7E9F44D3" w:rsidR="00414F03" w:rsidRDefault="00D42DE1"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Pr>
          <w:rFonts w:asciiTheme="minorHAnsi" w:hAnsiTheme="minorHAnsi" w:cstheme="minorHAnsi"/>
          <w:bCs/>
          <w:sz w:val="22"/>
          <w:szCs w:val="22"/>
        </w:rPr>
        <w:t>U</w:t>
      </w:r>
      <w:r w:rsidR="00DE27E4">
        <w:rPr>
          <w:rFonts w:asciiTheme="minorHAnsi" w:hAnsiTheme="minorHAnsi" w:cstheme="minorHAnsi"/>
          <w:bCs/>
          <w:sz w:val="22"/>
          <w:szCs w:val="22"/>
        </w:rPr>
        <w:t>NIA</w:t>
      </w:r>
      <w:r>
        <w:rPr>
          <w:rFonts w:asciiTheme="minorHAnsi" w:hAnsiTheme="minorHAnsi" w:cstheme="minorHAnsi"/>
          <w:bCs/>
          <w:sz w:val="22"/>
          <w:szCs w:val="22"/>
        </w:rPr>
        <w:t>, suite à son intervention volontaire,</w:t>
      </w:r>
      <w:r w:rsidR="00681EC6">
        <w:rPr>
          <w:rFonts w:asciiTheme="minorHAnsi" w:hAnsiTheme="minorHAnsi" w:cstheme="minorHAnsi"/>
          <w:bCs/>
          <w:sz w:val="22"/>
          <w:szCs w:val="22"/>
        </w:rPr>
        <w:t xml:space="preserve"> réclame également une indemnité de procédure </w:t>
      </w:r>
      <w:r w:rsidR="006D28D0">
        <w:rPr>
          <w:rFonts w:asciiTheme="minorHAnsi" w:hAnsiTheme="minorHAnsi" w:cstheme="minorHAnsi"/>
          <w:bCs/>
          <w:sz w:val="22"/>
          <w:szCs w:val="22"/>
        </w:rPr>
        <w:t xml:space="preserve"> fixée au montant de base soit</w:t>
      </w:r>
      <w:r w:rsidR="005A2526">
        <w:rPr>
          <w:rFonts w:asciiTheme="minorHAnsi" w:hAnsiTheme="minorHAnsi" w:cstheme="minorHAnsi"/>
          <w:bCs/>
          <w:sz w:val="22"/>
          <w:szCs w:val="22"/>
        </w:rPr>
        <w:t xml:space="preserve"> </w:t>
      </w:r>
      <w:r w:rsidR="006D28D0">
        <w:rPr>
          <w:rFonts w:asciiTheme="minorHAnsi" w:hAnsiTheme="minorHAnsi" w:cstheme="minorHAnsi"/>
          <w:bCs/>
          <w:sz w:val="22"/>
          <w:szCs w:val="22"/>
        </w:rPr>
        <w:t xml:space="preserve">1.800 €. </w:t>
      </w:r>
    </w:p>
    <w:p w14:paraId="7C0ABD2E" w14:textId="77777777" w:rsidR="0013601D" w:rsidRDefault="0013601D"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36B8441B" w14:textId="513547F8" w:rsidR="0013601D" w:rsidRDefault="0013601D"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Pr>
          <w:rFonts w:asciiTheme="minorHAnsi" w:hAnsiTheme="minorHAnsi" w:cstheme="minorHAnsi"/>
          <w:bCs/>
          <w:sz w:val="22"/>
          <w:szCs w:val="22"/>
        </w:rPr>
        <w:t>Conformément à l’article 1</w:t>
      </w:r>
      <w:r w:rsidRPr="0013601D">
        <w:rPr>
          <w:rFonts w:asciiTheme="minorHAnsi" w:hAnsiTheme="minorHAnsi" w:cstheme="minorHAnsi"/>
          <w:bCs/>
          <w:sz w:val="22"/>
          <w:szCs w:val="22"/>
          <w:vertAlign w:val="superscript"/>
        </w:rPr>
        <w:t>er</w:t>
      </w:r>
      <w:r>
        <w:rPr>
          <w:rFonts w:asciiTheme="minorHAnsi" w:hAnsiTheme="minorHAnsi" w:cstheme="minorHAnsi"/>
          <w:bCs/>
          <w:sz w:val="22"/>
          <w:szCs w:val="22"/>
        </w:rPr>
        <w:t>, alinéa 2 de l’a</w:t>
      </w:r>
      <w:r w:rsidR="004D765A" w:rsidRPr="004D765A">
        <w:rPr>
          <w:rFonts w:asciiTheme="minorHAnsi" w:hAnsiTheme="minorHAnsi" w:cstheme="minorHAnsi"/>
          <w:bCs/>
          <w:sz w:val="22"/>
          <w:szCs w:val="22"/>
        </w:rPr>
        <w:t xml:space="preserve">rrêté royal </w:t>
      </w:r>
      <w:r w:rsidR="00DE18C7">
        <w:rPr>
          <w:rFonts w:asciiTheme="minorHAnsi" w:hAnsiTheme="minorHAnsi" w:cstheme="minorHAnsi"/>
          <w:bCs/>
          <w:sz w:val="22"/>
          <w:szCs w:val="22"/>
        </w:rPr>
        <w:t>du 26 octobre 2007</w:t>
      </w:r>
      <w:r w:rsidR="00DE18C7">
        <w:rPr>
          <w:rStyle w:val="Appelnotedebasdep"/>
          <w:rFonts w:asciiTheme="minorHAnsi" w:hAnsiTheme="minorHAnsi" w:cstheme="minorHAnsi"/>
          <w:bCs/>
          <w:sz w:val="22"/>
          <w:szCs w:val="22"/>
        </w:rPr>
        <w:footnoteReference w:id="22"/>
      </w:r>
      <w:r w:rsidR="005170D0">
        <w:rPr>
          <w:rFonts w:asciiTheme="minorHAnsi" w:hAnsiTheme="minorHAnsi" w:cstheme="minorHAnsi"/>
          <w:bCs/>
          <w:sz w:val="22"/>
          <w:szCs w:val="22"/>
        </w:rPr>
        <w:t>:</w:t>
      </w:r>
    </w:p>
    <w:p w14:paraId="7C9C7CFF" w14:textId="45768BB8" w:rsidR="005170D0" w:rsidRPr="005170D0" w:rsidRDefault="005170D0" w:rsidP="00DE18C7">
      <w:pPr>
        <w:pStyle w:val="Liste"/>
        <w:spacing w:before="100" w:beforeAutospacing="1" w:after="100" w:afterAutospacing="1"/>
        <w:ind w:left="567" w:firstLine="0"/>
        <w:contextualSpacing/>
        <w:jc w:val="both"/>
        <w:rPr>
          <w:rFonts w:asciiTheme="minorHAnsi" w:hAnsiTheme="minorHAnsi" w:cstheme="minorHAnsi"/>
          <w:bCs/>
          <w:i/>
          <w:iCs/>
          <w:sz w:val="22"/>
          <w:szCs w:val="22"/>
        </w:rPr>
      </w:pPr>
      <w:r>
        <w:rPr>
          <w:rFonts w:asciiTheme="minorHAnsi" w:hAnsiTheme="minorHAnsi" w:cstheme="minorHAnsi"/>
          <w:bCs/>
          <w:sz w:val="22"/>
          <w:szCs w:val="22"/>
        </w:rPr>
        <w:t>« </w:t>
      </w:r>
      <w:r w:rsidRPr="005170D0">
        <w:rPr>
          <w:rFonts w:asciiTheme="minorHAnsi" w:hAnsiTheme="minorHAnsi" w:cstheme="minorHAnsi"/>
          <w:bCs/>
          <w:i/>
          <w:iCs/>
          <w:sz w:val="22"/>
          <w:szCs w:val="22"/>
        </w:rPr>
        <w:t>Les montants de base, minima et maxima de l'indemnité de procédure visée à l'article 1022 du Code judiciaires sont fixés par le présent arrêté.</w:t>
      </w:r>
    </w:p>
    <w:p w14:paraId="009BDCA6" w14:textId="0F7C0920" w:rsidR="005170D0" w:rsidRDefault="005170D0" w:rsidP="00DE18C7">
      <w:pPr>
        <w:pStyle w:val="Liste"/>
        <w:spacing w:before="100" w:beforeAutospacing="1" w:after="100" w:afterAutospacing="1"/>
        <w:ind w:left="567" w:firstLine="0"/>
        <w:contextualSpacing/>
        <w:jc w:val="both"/>
        <w:rPr>
          <w:rFonts w:asciiTheme="minorHAnsi" w:hAnsiTheme="minorHAnsi" w:cstheme="minorHAnsi"/>
          <w:bCs/>
          <w:sz w:val="22"/>
          <w:szCs w:val="22"/>
        </w:rPr>
      </w:pPr>
      <w:r w:rsidRPr="005170D0">
        <w:rPr>
          <w:rFonts w:asciiTheme="minorHAnsi" w:hAnsiTheme="minorHAnsi" w:cstheme="minorHAnsi"/>
          <w:bCs/>
          <w:i/>
          <w:iCs/>
          <w:sz w:val="22"/>
          <w:szCs w:val="22"/>
        </w:rPr>
        <w:t xml:space="preserve">  Les montants sont fixés </w:t>
      </w:r>
      <w:r w:rsidRPr="005170D0">
        <w:rPr>
          <w:rFonts w:asciiTheme="minorHAnsi" w:hAnsiTheme="minorHAnsi" w:cstheme="minorHAnsi"/>
          <w:b/>
          <w:i/>
          <w:iCs/>
          <w:sz w:val="22"/>
          <w:szCs w:val="22"/>
        </w:rPr>
        <w:t>par lien d'instance</w:t>
      </w:r>
      <w:r w:rsidRPr="005170D0">
        <w:rPr>
          <w:rFonts w:asciiTheme="minorHAnsi" w:hAnsiTheme="minorHAnsi" w:cstheme="minorHAnsi"/>
          <w:bCs/>
          <w:i/>
          <w:iCs/>
          <w:sz w:val="22"/>
          <w:szCs w:val="22"/>
        </w:rPr>
        <w:t xml:space="preserve"> et </w:t>
      </w:r>
      <w:r w:rsidRPr="005170D0">
        <w:rPr>
          <w:rFonts w:asciiTheme="minorHAnsi" w:hAnsiTheme="minorHAnsi" w:cstheme="minorHAnsi"/>
          <w:b/>
          <w:i/>
          <w:iCs/>
          <w:sz w:val="22"/>
          <w:szCs w:val="22"/>
        </w:rPr>
        <w:t>à l'égard de chaque partie assistée par un avocat</w:t>
      </w:r>
      <w:r w:rsidRPr="005170D0">
        <w:rPr>
          <w:rFonts w:asciiTheme="minorHAnsi" w:hAnsiTheme="minorHAnsi" w:cstheme="minorHAnsi"/>
          <w:bCs/>
          <w:i/>
          <w:iCs/>
          <w:sz w:val="22"/>
          <w:szCs w:val="22"/>
        </w:rPr>
        <w:t>. Lorsqu'un même avocat assiste plusieurs parties dans un même lien d'instance, l'indemnité de procédure se partage entre elles.</w:t>
      </w:r>
      <w:r>
        <w:rPr>
          <w:rFonts w:asciiTheme="minorHAnsi" w:hAnsiTheme="minorHAnsi" w:cstheme="minorHAnsi"/>
          <w:bCs/>
          <w:sz w:val="22"/>
          <w:szCs w:val="22"/>
        </w:rPr>
        <w:t> »</w:t>
      </w:r>
    </w:p>
    <w:p w14:paraId="7E58CF6E" w14:textId="77777777" w:rsidR="006D28D0" w:rsidRDefault="006D28D0"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30DB743D" w14:textId="492AED0D" w:rsidR="00E62361" w:rsidRDefault="00E62361"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Pr>
          <w:rFonts w:asciiTheme="minorHAnsi" w:hAnsiTheme="minorHAnsi" w:cstheme="minorHAnsi"/>
          <w:bCs/>
          <w:sz w:val="22"/>
          <w:szCs w:val="22"/>
        </w:rPr>
        <w:t>Par son intervention volontaire, UNIA a créé un nouveau lien d’instance distinct</w:t>
      </w:r>
      <w:r w:rsidR="00EC05E2">
        <w:rPr>
          <w:rStyle w:val="Appelnotedebasdep"/>
          <w:rFonts w:asciiTheme="minorHAnsi" w:hAnsiTheme="minorHAnsi" w:cstheme="minorHAnsi"/>
          <w:bCs/>
          <w:sz w:val="22"/>
          <w:szCs w:val="22"/>
        </w:rPr>
        <w:footnoteReference w:id="23"/>
      </w:r>
      <w:r>
        <w:rPr>
          <w:rFonts w:asciiTheme="minorHAnsi" w:hAnsiTheme="minorHAnsi" w:cstheme="minorHAnsi"/>
          <w:bCs/>
          <w:sz w:val="22"/>
          <w:szCs w:val="22"/>
        </w:rPr>
        <w:t xml:space="preserve"> de celui de monsieur </w:t>
      </w:r>
      <w:r w:rsidR="00AC7907">
        <w:rPr>
          <w:rFonts w:asciiTheme="minorHAnsi" w:hAnsiTheme="minorHAnsi" w:cstheme="minorHAnsi"/>
          <w:bCs/>
          <w:sz w:val="22"/>
          <w:szCs w:val="22"/>
        </w:rPr>
        <w:t>P</w:t>
      </w:r>
      <w:r>
        <w:rPr>
          <w:rFonts w:asciiTheme="minorHAnsi" w:hAnsiTheme="minorHAnsi" w:cstheme="minorHAnsi"/>
          <w:bCs/>
          <w:sz w:val="22"/>
          <w:szCs w:val="22"/>
        </w:rPr>
        <w:t xml:space="preserve">. Aussi, UNIA est </w:t>
      </w:r>
      <w:r w:rsidR="00EC05E2">
        <w:rPr>
          <w:rFonts w:asciiTheme="minorHAnsi" w:hAnsiTheme="minorHAnsi" w:cstheme="minorHAnsi"/>
          <w:bCs/>
          <w:sz w:val="22"/>
          <w:szCs w:val="22"/>
        </w:rPr>
        <w:t xml:space="preserve">assisté par son propre avocat. </w:t>
      </w:r>
    </w:p>
    <w:p w14:paraId="3DE20FFA" w14:textId="77777777" w:rsidR="00EC05E2" w:rsidRDefault="00EC05E2"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p>
    <w:p w14:paraId="5902F2C3" w14:textId="17AB802B" w:rsidR="004D1D4B" w:rsidRDefault="00147C74" w:rsidP="00D368C9">
      <w:pPr>
        <w:pStyle w:val="Liste"/>
        <w:spacing w:before="100" w:beforeAutospacing="1" w:after="100" w:afterAutospacing="1"/>
        <w:ind w:left="0" w:firstLine="0"/>
        <w:contextualSpacing/>
        <w:jc w:val="both"/>
        <w:rPr>
          <w:rFonts w:asciiTheme="minorHAnsi" w:hAnsiTheme="minorHAnsi" w:cstheme="minorHAnsi"/>
          <w:bCs/>
          <w:sz w:val="22"/>
          <w:szCs w:val="22"/>
        </w:rPr>
      </w:pPr>
      <w:r>
        <w:rPr>
          <w:rFonts w:asciiTheme="minorHAnsi" w:hAnsiTheme="minorHAnsi" w:cstheme="minorHAnsi"/>
          <w:bCs/>
          <w:sz w:val="22"/>
          <w:szCs w:val="22"/>
        </w:rPr>
        <w:t xml:space="preserve">Par conséquent, il y a lieu de condamner l’OTW aux dépens, en ce compris les indemnités de procédure dues à Monsieur </w:t>
      </w:r>
      <w:r w:rsidR="00AC7907">
        <w:rPr>
          <w:rFonts w:asciiTheme="minorHAnsi" w:hAnsiTheme="minorHAnsi" w:cstheme="minorHAnsi"/>
          <w:bCs/>
          <w:sz w:val="22"/>
          <w:szCs w:val="22"/>
        </w:rPr>
        <w:t>P</w:t>
      </w:r>
      <w:r>
        <w:rPr>
          <w:rFonts w:asciiTheme="minorHAnsi" w:hAnsiTheme="minorHAnsi" w:cstheme="minorHAnsi"/>
          <w:bCs/>
          <w:sz w:val="22"/>
          <w:szCs w:val="22"/>
        </w:rPr>
        <w:t xml:space="preserve"> et à UNIA. </w:t>
      </w:r>
    </w:p>
    <w:p w14:paraId="2C5991E9" w14:textId="77777777" w:rsidR="004D08B0" w:rsidRPr="006E3CAB" w:rsidRDefault="004D08B0" w:rsidP="00D368C9">
      <w:pPr>
        <w:spacing w:before="100" w:beforeAutospacing="1" w:after="100" w:afterAutospacing="1" w:line="240" w:lineRule="auto"/>
        <w:contextualSpacing/>
        <w:jc w:val="both"/>
        <w:rPr>
          <w:rFonts w:cstheme="minorHAnsi"/>
          <w:b/>
          <w:bCs/>
          <w:lang w:val="fr-FR"/>
        </w:rPr>
      </w:pPr>
      <w:r w:rsidRPr="006E3CAB">
        <w:rPr>
          <w:rFonts w:cstheme="minorHAnsi"/>
          <w:b/>
          <w:bCs/>
          <w:lang w:val="fr-FR"/>
        </w:rPr>
        <w:t>Par ces motifs,</w:t>
      </w:r>
    </w:p>
    <w:p w14:paraId="2C5991EB" w14:textId="6C9851CA" w:rsidR="004D08B0" w:rsidRPr="006E3CAB" w:rsidRDefault="004D08B0" w:rsidP="009743A6">
      <w:pPr>
        <w:pStyle w:val="Corpsdetexte"/>
        <w:tabs>
          <w:tab w:val="left" w:pos="-4962"/>
          <w:tab w:val="left" w:pos="-4820"/>
          <w:tab w:val="left" w:pos="-3544"/>
          <w:tab w:val="left" w:pos="-3402"/>
          <w:tab w:val="left" w:pos="-3261"/>
          <w:tab w:val="left" w:pos="-3119"/>
          <w:tab w:val="left" w:pos="-1276"/>
        </w:tabs>
        <w:spacing w:before="100" w:beforeAutospacing="1" w:after="100" w:afterAutospacing="1"/>
        <w:contextualSpacing/>
        <w:rPr>
          <w:rFonts w:asciiTheme="minorHAnsi" w:hAnsiTheme="minorHAnsi" w:cstheme="minorHAnsi"/>
          <w:b/>
          <w:bCs/>
          <w:sz w:val="22"/>
          <w:szCs w:val="22"/>
        </w:rPr>
      </w:pPr>
      <w:r w:rsidRPr="006E3CAB">
        <w:rPr>
          <w:rFonts w:asciiTheme="minorHAnsi" w:hAnsiTheme="minorHAnsi" w:cstheme="minorHAnsi"/>
          <w:b/>
          <w:bCs/>
          <w:sz w:val="22"/>
          <w:szCs w:val="22"/>
        </w:rPr>
        <w:t xml:space="preserve">Nous, Denis MARECHAL, président du tribunal du travail, assisté de </w:t>
      </w:r>
      <w:r w:rsidR="009D6787">
        <w:rPr>
          <w:rFonts w:asciiTheme="minorHAnsi" w:hAnsiTheme="minorHAnsi" w:cstheme="minorHAnsi"/>
          <w:b/>
          <w:bCs/>
          <w:sz w:val="22"/>
          <w:szCs w:val="22"/>
        </w:rPr>
        <w:t>Nathalie JONET</w:t>
      </w:r>
      <w:r w:rsidRPr="006E3CAB">
        <w:rPr>
          <w:rFonts w:asciiTheme="minorHAnsi" w:hAnsiTheme="minorHAnsi" w:cstheme="minorHAnsi"/>
          <w:b/>
          <w:bCs/>
          <w:sz w:val="22"/>
          <w:szCs w:val="22"/>
        </w:rPr>
        <w:t xml:space="preserve">, greffier, </w:t>
      </w:r>
    </w:p>
    <w:p w14:paraId="2C5991ED" w14:textId="617479C3" w:rsidR="004D08B0" w:rsidRDefault="004D08B0" w:rsidP="00D368C9">
      <w:pPr>
        <w:pStyle w:val="En-tte"/>
        <w:tabs>
          <w:tab w:val="clear" w:pos="4703"/>
          <w:tab w:val="clear" w:pos="9406"/>
        </w:tabs>
        <w:spacing w:before="100" w:beforeAutospacing="1" w:after="100" w:afterAutospacing="1"/>
        <w:contextualSpacing/>
        <w:jc w:val="both"/>
        <w:rPr>
          <w:rFonts w:asciiTheme="minorHAnsi" w:hAnsiTheme="minorHAnsi" w:cstheme="minorHAnsi"/>
          <w:b/>
          <w:bCs/>
          <w:sz w:val="22"/>
          <w:szCs w:val="22"/>
          <w:lang w:val="fr-BE"/>
        </w:rPr>
      </w:pPr>
      <w:r w:rsidRPr="006E3CAB">
        <w:rPr>
          <w:rFonts w:asciiTheme="minorHAnsi" w:hAnsiTheme="minorHAnsi" w:cstheme="minorHAnsi"/>
          <w:b/>
          <w:bCs/>
          <w:sz w:val="22"/>
          <w:szCs w:val="22"/>
        </w:rPr>
        <w:t>Statuant contradictoirement</w:t>
      </w:r>
      <w:r w:rsidRPr="006E3CAB">
        <w:rPr>
          <w:rFonts w:asciiTheme="minorHAnsi" w:hAnsiTheme="minorHAnsi" w:cstheme="minorHAnsi"/>
          <w:b/>
          <w:bCs/>
          <w:sz w:val="22"/>
          <w:szCs w:val="22"/>
          <w:lang w:val="fr-BE"/>
        </w:rPr>
        <w:t xml:space="preserve">, </w:t>
      </w:r>
    </w:p>
    <w:p w14:paraId="0165D429" w14:textId="33472C6B" w:rsidR="00985061" w:rsidRDefault="00985061" w:rsidP="00F24AAB">
      <w:pPr>
        <w:pStyle w:val="Corpsdetexte"/>
        <w:tabs>
          <w:tab w:val="right" w:pos="7088"/>
        </w:tabs>
        <w:spacing w:before="100" w:beforeAutospacing="1" w:after="100" w:afterAutospacing="1"/>
        <w:contextualSpacing/>
        <w:rPr>
          <w:rFonts w:asciiTheme="minorHAnsi" w:hAnsiTheme="minorHAnsi" w:cstheme="minorHAnsi"/>
          <w:sz w:val="22"/>
          <w:szCs w:val="22"/>
        </w:rPr>
      </w:pPr>
      <w:r w:rsidRPr="00985061">
        <w:rPr>
          <w:rFonts w:asciiTheme="minorHAnsi" w:hAnsiTheme="minorHAnsi" w:cstheme="minorHAnsi"/>
          <w:sz w:val="22"/>
          <w:szCs w:val="22"/>
        </w:rPr>
        <w:t xml:space="preserve">Nous déclarons </w:t>
      </w:r>
      <w:r w:rsidRPr="00F24AAB">
        <w:rPr>
          <w:rFonts w:asciiTheme="minorHAnsi" w:hAnsiTheme="minorHAnsi" w:cstheme="minorHAnsi"/>
          <w:sz w:val="22"/>
          <w:szCs w:val="22"/>
        </w:rPr>
        <w:t xml:space="preserve">compétent </w:t>
      </w:r>
      <w:r w:rsidR="000F1795" w:rsidRPr="00F24AAB">
        <w:rPr>
          <w:rFonts w:asciiTheme="minorHAnsi" w:hAnsiTheme="minorHAnsi" w:cstheme="minorHAnsi"/>
          <w:sz w:val="22"/>
          <w:szCs w:val="22"/>
        </w:rPr>
        <w:t xml:space="preserve">matériellement et territorialement </w:t>
      </w:r>
      <w:r w:rsidRPr="00F24AAB">
        <w:rPr>
          <w:rFonts w:asciiTheme="minorHAnsi" w:hAnsiTheme="minorHAnsi" w:cstheme="minorHAnsi"/>
          <w:sz w:val="22"/>
          <w:szCs w:val="22"/>
        </w:rPr>
        <w:t>pour</w:t>
      </w:r>
      <w:r w:rsidRPr="00985061">
        <w:rPr>
          <w:rFonts w:asciiTheme="minorHAnsi" w:hAnsiTheme="minorHAnsi" w:cstheme="minorHAnsi"/>
          <w:sz w:val="22"/>
          <w:szCs w:val="22"/>
        </w:rPr>
        <w:t xml:space="preserve"> connaître de la demande.</w:t>
      </w:r>
    </w:p>
    <w:p w14:paraId="44950B30" w14:textId="77777777" w:rsidR="00985061" w:rsidRPr="00985061" w:rsidRDefault="00985061" w:rsidP="00985061">
      <w:pPr>
        <w:pStyle w:val="Corpsdetexte"/>
        <w:tabs>
          <w:tab w:val="right" w:pos="7088"/>
        </w:tabs>
        <w:spacing w:before="100" w:beforeAutospacing="1" w:after="100" w:afterAutospacing="1"/>
        <w:contextualSpacing/>
        <w:rPr>
          <w:rFonts w:asciiTheme="minorHAnsi" w:hAnsiTheme="minorHAnsi" w:cstheme="minorHAnsi"/>
          <w:sz w:val="22"/>
          <w:szCs w:val="22"/>
        </w:rPr>
      </w:pPr>
    </w:p>
    <w:p w14:paraId="3A88D255" w14:textId="7F33F903" w:rsidR="00985061" w:rsidRDefault="00985061" w:rsidP="00985061">
      <w:pPr>
        <w:pStyle w:val="Corpsdetexte"/>
        <w:tabs>
          <w:tab w:val="right" w:pos="7088"/>
        </w:tabs>
        <w:spacing w:before="100" w:beforeAutospacing="1" w:after="100" w:afterAutospacing="1"/>
        <w:contextualSpacing/>
        <w:rPr>
          <w:rFonts w:asciiTheme="minorHAnsi" w:hAnsiTheme="minorHAnsi" w:cstheme="minorHAnsi"/>
          <w:sz w:val="22"/>
          <w:szCs w:val="22"/>
        </w:rPr>
      </w:pPr>
      <w:r w:rsidRPr="00985061">
        <w:rPr>
          <w:rFonts w:asciiTheme="minorHAnsi" w:hAnsiTheme="minorHAnsi" w:cstheme="minorHAnsi"/>
          <w:sz w:val="22"/>
          <w:szCs w:val="22"/>
        </w:rPr>
        <w:t xml:space="preserve">Disons l'action en cessation </w:t>
      </w:r>
      <w:r w:rsidR="003E7C9C">
        <w:rPr>
          <w:rFonts w:asciiTheme="minorHAnsi" w:hAnsiTheme="minorHAnsi" w:cstheme="minorHAnsi"/>
          <w:sz w:val="22"/>
          <w:szCs w:val="22"/>
        </w:rPr>
        <w:t xml:space="preserve">de Monsieur </w:t>
      </w:r>
      <w:r w:rsidR="00AC7907">
        <w:rPr>
          <w:rFonts w:asciiTheme="minorHAnsi" w:hAnsiTheme="minorHAnsi" w:cstheme="minorHAnsi"/>
          <w:sz w:val="22"/>
          <w:szCs w:val="22"/>
        </w:rPr>
        <w:t>P</w:t>
      </w:r>
      <w:r w:rsidR="003E7C9C">
        <w:rPr>
          <w:rFonts w:asciiTheme="minorHAnsi" w:hAnsiTheme="minorHAnsi" w:cstheme="minorHAnsi"/>
          <w:sz w:val="22"/>
          <w:szCs w:val="22"/>
        </w:rPr>
        <w:t xml:space="preserve"> </w:t>
      </w:r>
      <w:r w:rsidRPr="00985061">
        <w:rPr>
          <w:rFonts w:asciiTheme="minorHAnsi" w:hAnsiTheme="minorHAnsi" w:cstheme="minorHAnsi"/>
          <w:sz w:val="22"/>
          <w:szCs w:val="22"/>
        </w:rPr>
        <w:t xml:space="preserve">recevable et </w:t>
      </w:r>
      <w:r w:rsidR="006C0DAD">
        <w:rPr>
          <w:rFonts w:asciiTheme="minorHAnsi" w:hAnsiTheme="minorHAnsi" w:cstheme="minorHAnsi"/>
          <w:sz w:val="22"/>
          <w:szCs w:val="22"/>
        </w:rPr>
        <w:t xml:space="preserve">en partie </w:t>
      </w:r>
      <w:r w:rsidRPr="00985061">
        <w:rPr>
          <w:rFonts w:asciiTheme="minorHAnsi" w:hAnsiTheme="minorHAnsi" w:cstheme="minorHAnsi"/>
          <w:sz w:val="22"/>
          <w:szCs w:val="22"/>
        </w:rPr>
        <w:t>fondée.</w:t>
      </w:r>
    </w:p>
    <w:p w14:paraId="0370A899" w14:textId="77777777" w:rsidR="00985061" w:rsidRPr="00985061" w:rsidRDefault="00985061" w:rsidP="00985061">
      <w:pPr>
        <w:pStyle w:val="Corpsdetexte"/>
        <w:tabs>
          <w:tab w:val="right" w:pos="7088"/>
        </w:tabs>
        <w:spacing w:before="100" w:beforeAutospacing="1" w:after="100" w:afterAutospacing="1"/>
        <w:contextualSpacing/>
        <w:rPr>
          <w:rFonts w:asciiTheme="minorHAnsi" w:hAnsiTheme="minorHAnsi" w:cstheme="minorHAnsi"/>
          <w:sz w:val="22"/>
          <w:szCs w:val="22"/>
        </w:rPr>
      </w:pPr>
    </w:p>
    <w:p w14:paraId="0E606A44" w14:textId="7A3FF337" w:rsidR="00586720" w:rsidRDefault="00985061" w:rsidP="00985061">
      <w:pPr>
        <w:pStyle w:val="Corpsdetexte"/>
        <w:tabs>
          <w:tab w:val="right" w:pos="7088"/>
        </w:tabs>
        <w:spacing w:before="100" w:beforeAutospacing="1" w:after="100" w:afterAutospacing="1"/>
        <w:contextualSpacing/>
        <w:rPr>
          <w:rFonts w:asciiTheme="minorHAnsi" w:hAnsiTheme="minorHAnsi" w:cstheme="minorHAnsi"/>
          <w:sz w:val="22"/>
          <w:szCs w:val="22"/>
        </w:rPr>
      </w:pPr>
      <w:r w:rsidRPr="00985061">
        <w:rPr>
          <w:rFonts w:asciiTheme="minorHAnsi" w:hAnsiTheme="minorHAnsi" w:cstheme="minorHAnsi"/>
          <w:sz w:val="22"/>
          <w:szCs w:val="22"/>
        </w:rPr>
        <w:t xml:space="preserve">Disons l'intervention volontaire </w:t>
      </w:r>
      <w:r w:rsidR="003E7C9C">
        <w:rPr>
          <w:rFonts w:asciiTheme="minorHAnsi" w:hAnsiTheme="minorHAnsi" w:cstheme="minorHAnsi"/>
          <w:sz w:val="22"/>
          <w:szCs w:val="22"/>
        </w:rPr>
        <w:t xml:space="preserve">de UNIA </w:t>
      </w:r>
      <w:r w:rsidRPr="00985061">
        <w:rPr>
          <w:rFonts w:asciiTheme="minorHAnsi" w:hAnsiTheme="minorHAnsi" w:cstheme="minorHAnsi"/>
          <w:sz w:val="22"/>
          <w:szCs w:val="22"/>
        </w:rPr>
        <w:t xml:space="preserve">recevable et </w:t>
      </w:r>
      <w:r w:rsidR="006C0DAD">
        <w:rPr>
          <w:rFonts w:asciiTheme="minorHAnsi" w:hAnsiTheme="minorHAnsi" w:cstheme="minorHAnsi"/>
          <w:sz w:val="22"/>
          <w:szCs w:val="22"/>
        </w:rPr>
        <w:t xml:space="preserve">en partie </w:t>
      </w:r>
      <w:r w:rsidRPr="00985061">
        <w:rPr>
          <w:rFonts w:asciiTheme="minorHAnsi" w:hAnsiTheme="minorHAnsi" w:cstheme="minorHAnsi"/>
          <w:sz w:val="22"/>
          <w:szCs w:val="22"/>
        </w:rPr>
        <w:t>fondée</w:t>
      </w:r>
      <w:r w:rsidR="0018623B">
        <w:rPr>
          <w:rFonts w:asciiTheme="minorHAnsi" w:hAnsiTheme="minorHAnsi" w:cstheme="minorHAnsi"/>
          <w:sz w:val="22"/>
          <w:szCs w:val="22"/>
        </w:rPr>
        <w:t>.</w:t>
      </w:r>
    </w:p>
    <w:p w14:paraId="7648EE4D" w14:textId="77777777" w:rsidR="00985061" w:rsidRPr="006E3CAB" w:rsidRDefault="00985061" w:rsidP="00985061">
      <w:pPr>
        <w:pStyle w:val="Corpsdetexte"/>
        <w:tabs>
          <w:tab w:val="right" w:pos="7088"/>
        </w:tabs>
        <w:spacing w:before="100" w:beforeAutospacing="1" w:after="100" w:afterAutospacing="1"/>
        <w:contextualSpacing/>
        <w:rPr>
          <w:rFonts w:asciiTheme="minorHAnsi" w:hAnsiTheme="minorHAnsi" w:cstheme="minorHAnsi"/>
          <w:sz w:val="22"/>
          <w:szCs w:val="22"/>
          <w:highlight w:val="cyan"/>
        </w:rPr>
      </w:pPr>
    </w:p>
    <w:p w14:paraId="57D29353" w14:textId="748DACF5" w:rsidR="00586720" w:rsidRPr="006E3CAB" w:rsidRDefault="00586720" w:rsidP="00D368C9">
      <w:pPr>
        <w:pStyle w:val="Corpsdetexte"/>
        <w:tabs>
          <w:tab w:val="right" w:pos="7088"/>
        </w:tabs>
        <w:spacing w:before="100" w:beforeAutospacing="1" w:after="100" w:afterAutospacing="1"/>
        <w:contextualSpacing/>
        <w:rPr>
          <w:rFonts w:asciiTheme="minorHAnsi" w:hAnsiTheme="minorHAnsi" w:cstheme="minorHAnsi"/>
          <w:sz w:val="22"/>
          <w:szCs w:val="22"/>
          <w:lang w:val="fr-BE" w:eastAsia="fr-BE"/>
        </w:rPr>
      </w:pPr>
      <w:r w:rsidRPr="006E3CAB">
        <w:rPr>
          <w:rFonts w:asciiTheme="minorHAnsi" w:hAnsiTheme="minorHAnsi" w:cstheme="minorHAnsi"/>
          <w:sz w:val="22"/>
          <w:szCs w:val="22"/>
          <w:lang w:val="fr-BE" w:eastAsia="fr-BE"/>
        </w:rPr>
        <w:t>Déclar</w:t>
      </w:r>
      <w:r w:rsidR="00985061">
        <w:rPr>
          <w:rFonts w:asciiTheme="minorHAnsi" w:hAnsiTheme="minorHAnsi" w:cstheme="minorHAnsi"/>
          <w:sz w:val="22"/>
          <w:szCs w:val="22"/>
          <w:lang w:val="fr-BE" w:eastAsia="fr-BE"/>
        </w:rPr>
        <w:t>ons</w:t>
      </w:r>
      <w:r w:rsidR="005E0F6B" w:rsidRPr="006E3CAB">
        <w:rPr>
          <w:rFonts w:asciiTheme="minorHAnsi" w:hAnsiTheme="minorHAnsi" w:cstheme="minorHAnsi"/>
          <w:sz w:val="22"/>
          <w:szCs w:val="22"/>
          <w:lang w:val="fr-BE" w:eastAsia="fr-BE"/>
        </w:rPr>
        <w:t xml:space="preserve"> </w:t>
      </w:r>
      <w:r w:rsidRPr="006E3CAB">
        <w:rPr>
          <w:rFonts w:asciiTheme="minorHAnsi" w:hAnsiTheme="minorHAnsi" w:cstheme="minorHAnsi"/>
          <w:sz w:val="22"/>
          <w:szCs w:val="22"/>
          <w:lang w:val="fr-BE" w:eastAsia="fr-BE"/>
        </w:rPr>
        <w:t>l</w:t>
      </w:r>
      <w:r w:rsidR="00352C51">
        <w:rPr>
          <w:rFonts w:asciiTheme="minorHAnsi" w:hAnsiTheme="minorHAnsi" w:cstheme="minorHAnsi"/>
          <w:sz w:val="22"/>
          <w:szCs w:val="22"/>
          <w:lang w:val="fr-BE" w:eastAsia="fr-BE"/>
        </w:rPr>
        <w:t>a</w:t>
      </w:r>
      <w:r w:rsidRPr="006E3CAB">
        <w:rPr>
          <w:rFonts w:asciiTheme="minorHAnsi" w:hAnsiTheme="minorHAnsi" w:cstheme="minorHAnsi"/>
          <w:sz w:val="22"/>
          <w:szCs w:val="22"/>
          <w:lang w:val="fr-BE" w:eastAsia="fr-BE"/>
        </w:rPr>
        <w:t xml:space="preserve"> demande de Monsieur </w:t>
      </w:r>
      <w:r w:rsidR="00AC7907">
        <w:rPr>
          <w:rFonts w:asciiTheme="minorHAnsi" w:hAnsiTheme="minorHAnsi" w:cstheme="minorHAnsi"/>
          <w:sz w:val="22"/>
          <w:szCs w:val="22"/>
          <w:lang w:val="fr-BE" w:eastAsia="fr-BE"/>
        </w:rPr>
        <w:t>P</w:t>
      </w:r>
      <w:r w:rsidRPr="006E3CAB">
        <w:rPr>
          <w:rFonts w:asciiTheme="minorHAnsi" w:hAnsiTheme="minorHAnsi" w:cstheme="minorHAnsi"/>
          <w:sz w:val="22"/>
          <w:szCs w:val="22"/>
          <w:lang w:val="fr-BE" w:eastAsia="fr-BE"/>
        </w:rPr>
        <w:t xml:space="preserve"> en matière de discrimination fondée</w:t>
      </w:r>
      <w:r w:rsidR="0018623B">
        <w:rPr>
          <w:rFonts w:asciiTheme="minorHAnsi" w:hAnsiTheme="minorHAnsi" w:cstheme="minorHAnsi"/>
          <w:sz w:val="22"/>
          <w:szCs w:val="22"/>
          <w:lang w:val="fr-BE" w:eastAsia="fr-BE"/>
        </w:rPr>
        <w:t>.</w:t>
      </w:r>
    </w:p>
    <w:p w14:paraId="4BD2B4EB" w14:textId="77777777" w:rsidR="00586720" w:rsidRPr="006E3CAB" w:rsidRDefault="00586720" w:rsidP="00D368C9">
      <w:pPr>
        <w:pStyle w:val="Corpsdetexte"/>
        <w:tabs>
          <w:tab w:val="right" w:pos="7088"/>
        </w:tabs>
        <w:spacing w:before="100" w:beforeAutospacing="1" w:after="100" w:afterAutospacing="1"/>
        <w:contextualSpacing/>
        <w:rPr>
          <w:rFonts w:asciiTheme="minorHAnsi" w:hAnsiTheme="minorHAnsi" w:cstheme="minorHAnsi"/>
          <w:sz w:val="22"/>
          <w:szCs w:val="22"/>
          <w:lang w:val="fr-BE" w:eastAsia="fr-BE"/>
        </w:rPr>
      </w:pPr>
    </w:p>
    <w:p w14:paraId="558EEDB5" w14:textId="51A919AB" w:rsidR="005E0F6B" w:rsidRPr="006E3CAB" w:rsidRDefault="005E0F6B" w:rsidP="00D368C9">
      <w:pPr>
        <w:pStyle w:val="Corpsdetexte"/>
        <w:tabs>
          <w:tab w:val="right" w:pos="7088"/>
        </w:tabs>
        <w:spacing w:before="100" w:beforeAutospacing="1" w:after="100" w:afterAutospacing="1"/>
        <w:contextualSpacing/>
        <w:rPr>
          <w:rFonts w:asciiTheme="minorHAnsi" w:hAnsiTheme="minorHAnsi" w:cstheme="minorHAnsi"/>
          <w:sz w:val="22"/>
          <w:szCs w:val="22"/>
          <w:lang w:val="fr-BE" w:eastAsia="fr-BE"/>
        </w:rPr>
      </w:pPr>
      <w:r w:rsidRPr="006E3CAB">
        <w:rPr>
          <w:rFonts w:asciiTheme="minorHAnsi" w:hAnsiTheme="minorHAnsi" w:cstheme="minorHAnsi"/>
          <w:sz w:val="22"/>
          <w:szCs w:val="22"/>
          <w:lang w:val="fr-BE" w:eastAsia="fr-BE"/>
        </w:rPr>
        <w:t>C</w:t>
      </w:r>
      <w:r w:rsidR="00586720" w:rsidRPr="006E3CAB">
        <w:rPr>
          <w:rFonts w:asciiTheme="minorHAnsi" w:hAnsiTheme="minorHAnsi" w:cstheme="minorHAnsi"/>
          <w:sz w:val="22"/>
          <w:szCs w:val="22"/>
          <w:lang w:val="fr-BE" w:eastAsia="fr-BE"/>
        </w:rPr>
        <w:t>onstat</w:t>
      </w:r>
      <w:r w:rsidR="003E7C9C">
        <w:rPr>
          <w:rFonts w:asciiTheme="minorHAnsi" w:hAnsiTheme="minorHAnsi" w:cstheme="minorHAnsi"/>
          <w:sz w:val="22"/>
          <w:szCs w:val="22"/>
          <w:lang w:val="fr-BE" w:eastAsia="fr-BE"/>
        </w:rPr>
        <w:t>ons</w:t>
      </w:r>
      <w:r w:rsidRPr="006E3CAB">
        <w:rPr>
          <w:rFonts w:asciiTheme="minorHAnsi" w:hAnsiTheme="minorHAnsi" w:cstheme="minorHAnsi"/>
          <w:sz w:val="22"/>
          <w:szCs w:val="22"/>
          <w:lang w:val="fr-BE" w:eastAsia="fr-BE"/>
        </w:rPr>
        <w:t xml:space="preserve"> </w:t>
      </w:r>
      <w:r w:rsidR="00586720" w:rsidRPr="006E3CAB">
        <w:rPr>
          <w:rFonts w:asciiTheme="minorHAnsi" w:hAnsiTheme="minorHAnsi" w:cstheme="minorHAnsi"/>
          <w:sz w:val="22"/>
          <w:szCs w:val="22"/>
          <w:lang w:val="fr-BE" w:eastAsia="fr-BE"/>
        </w:rPr>
        <w:t>l’existence d’une discrimination</w:t>
      </w:r>
      <w:r w:rsidR="0018623B">
        <w:rPr>
          <w:rFonts w:asciiTheme="minorHAnsi" w:hAnsiTheme="minorHAnsi" w:cstheme="minorHAnsi"/>
          <w:sz w:val="22"/>
          <w:szCs w:val="22"/>
          <w:lang w:val="fr-BE" w:eastAsia="fr-BE"/>
        </w:rPr>
        <w:t>.</w:t>
      </w:r>
    </w:p>
    <w:p w14:paraId="6C9F4516" w14:textId="77777777" w:rsidR="005E0F6B" w:rsidRPr="006E3CAB" w:rsidRDefault="005E0F6B" w:rsidP="00D368C9">
      <w:pPr>
        <w:pStyle w:val="Corpsdetexte"/>
        <w:tabs>
          <w:tab w:val="right" w:pos="7088"/>
        </w:tabs>
        <w:spacing w:before="100" w:beforeAutospacing="1" w:after="100" w:afterAutospacing="1"/>
        <w:contextualSpacing/>
        <w:rPr>
          <w:rFonts w:asciiTheme="minorHAnsi" w:hAnsiTheme="minorHAnsi" w:cstheme="minorHAnsi"/>
          <w:sz w:val="22"/>
          <w:szCs w:val="22"/>
          <w:lang w:val="fr-BE" w:eastAsia="fr-BE"/>
        </w:rPr>
      </w:pPr>
    </w:p>
    <w:p w14:paraId="4D3BDD58" w14:textId="4AE57CD4" w:rsidR="005E0F6B" w:rsidRPr="006E3CAB" w:rsidRDefault="005E0F6B" w:rsidP="00D368C9">
      <w:pPr>
        <w:pStyle w:val="Corpsdetexte"/>
        <w:tabs>
          <w:tab w:val="right" w:pos="7088"/>
        </w:tabs>
        <w:spacing w:before="100" w:beforeAutospacing="1" w:after="100" w:afterAutospacing="1"/>
        <w:contextualSpacing/>
        <w:rPr>
          <w:rFonts w:asciiTheme="minorHAnsi" w:hAnsiTheme="minorHAnsi" w:cstheme="minorHAnsi"/>
          <w:sz w:val="22"/>
          <w:szCs w:val="22"/>
          <w:lang w:val="fr-BE" w:eastAsia="fr-BE"/>
        </w:rPr>
      </w:pPr>
      <w:r w:rsidRPr="006E3CAB">
        <w:rPr>
          <w:rFonts w:asciiTheme="minorHAnsi" w:hAnsiTheme="minorHAnsi" w:cstheme="minorHAnsi"/>
          <w:sz w:val="22"/>
          <w:szCs w:val="22"/>
          <w:lang w:val="fr-BE" w:eastAsia="fr-BE"/>
        </w:rPr>
        <w:t>O</w:t>
      </w:r>
      <w:r w:rsidR="00586720" w:rsidRPr="006E3CAB">
        <w:rPr>
          <w:rFonts w:asciiTheme="minorHAnsi" w:hAnsiTheme="minorHAnsi" w:cstheme="minorHAnsi"/>
          <w:sz w:val="22"/>
          <w:szCs w:val="22"/>
          <w:lang w:val="fr-BE" w:eastAsia="fr-BE"/>
        </w:rPr>
        <w:t>rdonn</w:t>
      </w:r>
      <w:r w:rsidR="00985061">
        <w:rPr>
          <w:rFonts w:asciiTheme="minorHAnsi" w:hAnsiTheme="minorHAnsi" w:cstheme="minorHAnsi"/>
          <w:sz w:val="22"/>
          <w:szCs w:val="22"/>
          <w:lang w:val="fr-BE" w:eastAsia="fr-BE"/>
        </w:rPr>
        <w:t>ons</w:t>
      </w:r>
      <w:r w:rsidRPr="006E3CAB">
        <w:rPr>
          <w:rFonts w:asciiTheme="minorHAnsi" w:hAnsiTheme="minorHAnsi" w:cstheme="minorHAnsi"/>
          <w:sz w:val="22"/>
          <w:szCs w:val="22"/>
          <w:lang w:val="fr-BE" w:eastAsia="fr-BE"/>
        </w:rPr>
        <w:t xml:space="preserve"> </w:t>
      </w:r>
      <w:r w:rsidR="00586720" w:rsidRPr="006E3CAB">
        <w:rPr>
          <w:rFonts w:asciiTheme="minorHAnsi" w:hAnsiTheme="minorHAnsi" w:cstheme="minorHAnsi"/>
          <w:sz w:val="22"/>
          <w:szCs w:val="22"/>
          <w:lang w:val="fr-BE" w:eastAsia="fr-BE"/>
        </w:rPr>
        <w:t>la cessation de cette discrimination</w:t>
      </w:r>
      <w:r w:rsidRPr="006E3CAB">
        <w:rPr>
          <w:rFonts w:asciiTheme="minorHAnsi" w:hAnsiTheme="minorHAnsi" w:cstheme="minorHAnsi"/>
          <w:sz w:val="22"/>
          <w:szCs w:val="22"/>
          <w:lang w:val="fr-BE" w:eastAsia="fr-BE"/>
        </w:rPr>
        <w:t xml:space="preserve"> </w:t>
      </w:r>
      <w:r w:rsidR="00586720" w:rsidRPr="006E3CAB">
        <w:rPr>
          <w:rFonts w:asciiTheme="minorHAnsi" w:hAnsiTheme="minorHAnsi" w:cstheme="minorHAnsi"/>
          <w:sz w:val="22"/>
          <w:szCs w:val="22"/>
          <w:lang w:val="fr-BE" w:eastAsia="fr-BE"/>
        </w:rPr>
        <w:t xml:space="preserve">et, dès lors, qu’il soit fait droit à la demande de mi-temps médical de Monsieur </w:t>
      </w:r>
      <w:r w:rsidR="00AC7907">
        <w:rPr>
          <w:rFonts w:asciiTheme="minorHAnsi" w:hAnsiTheme="minorHAnsi" w:cstheme="minorHAnsi"/>
          <w:sz w:val="22"/>
          <w:szCs w:val="22"/>
          <w:lang w:val="fr-BE" w:eastAsia="fr-BE"/>
        </w:rPr>
        <w:t>P</w:t>
      </w:r>
      <w:r w:rsidR="00586720" w:rsidRPr="006E3CAB">
        <w:rPr>
          <w:rFonts w:asciiTheme="minorHAnsi" w:hAnsiTheme="minorHAnsi" w:cstheme="minorHAnsi"/>
          <w:sz w:val="22"/>
          <w:szCs w:val="22"/>
          <w:lang w:val="fr-BE" w:eastAsia="fr-BE"/>
        </w:rPr>
        <w:t xml:space="preserve"> tant que son handicap le justifiera</w:t>
      </w:r>
      <w:r w:rsidR="00480B46">
        <w:rPr>
          <w:rFonts w:asciiTheme="minorHAnsi" w:hAnsiTheme="minorHAnsi" w:cstheme="minorHAnsi"/>
          <w:sz w:val="22"/>
          <w:szCs w:val="22"/>
          <w:lang w:val="fr-BE" w:eastAsia="fr-BE"/>
        </w:rPr>
        <w:t>.</w:t>
      </w:r>
    </w:p>
    <w:p w14:paraId="0CDB2173" w14:textId="77777777" w:rsidR="005E0F6B" w:rsidRPr="006E3CAB" w:rsidRDefault="005E0F6B" w:rsidP="00D368C9">
      <w:pPr>
        <w:pStyle w:val="Corpsdetexte"/>
        <w:tabs>
          <w:tab w:val="right" w:pos="7088"/>
        </w:tabs>
        <w:spacing w:before="100" w:beforeAutospacing="1" w:after="100" w:afterAutospacing="1"/>
        <w:contextualSpacing/>
        <w:rPr>
          <w:rFonts w:asciiTheme="minorHAnsi" w:hAnsiTheme="minorHAnsi" w:cstheme="minorHAnsi"/>
          <w:sz w:val="22"/>
          <w:szCs w:val="22"/>
          <w:lang w:val="fr-BE" w:eastAsia="fr-BE"/>
        </w:rPr>
      </w:pPr>
    </w:p>
    <w:p w14:paraId="239D1125" w14:textId="5829E9E3" w:rsidR="00B84973" w:rsidRDefault="005E0F6B" w:rsidP="00B84973">
      <w:pPr>
        <w:pStyle w:val="Corpsdetexte"/>
        <w:tabs>
          <w:tab w:val="right" w:pos="7088"/>
        </w:tabs>
        <w:rPr>
          <w:rFonts w:ascii="Calibri" w:hAnsi="Calibri" w:cs="Calibri"/>
          <w:bCs/>
          <w:sz w:val="22"/>
          <w:szCs w:val="22"/>
        </w:rPr>
      </w:pPr>
      <w:r w:rsidRPr="006E3CAB">
        <w:rPr>
          <w:rFonts w:asciiTheme="minorHAnsi" w:hAnsiTheme="minorHAnsi" w:cstheme="minorHAnsi"/>
          <w:sz w:val="22"/>
          <w:szCs w:val="22"/>
          <w:lang w:val="fr-BE" w:eastAsia="fr-BE"/>
        </w:rPr>
        <w:t>C</w:t>
      </w:r>
      <w:r w:rsidR="00586720" w:rsidRPr="006E3CAB">
        <w:rPr>
          <w:rFonts w:asciiTheme="minorHAnsi" w:hAnsiTheme="minorHAnsi" w:cstheme="minorHAnsi"/>
          <w:sz w:val="22"/>
          <w:szCs w:val="22"/>
          <w:lang w:val="fr-BE" w:eastAsia="fr-BE"/>
        </w:rPr>
        <w:t>ondamn</w:t>
      </w:r>
      <w:r w:rsidR="00B84973">
        <w:rPr>
          <w:rFonts w:asciiTheme="minorHAnsi" w:hAnsiTheme="minorHAnsi" w:cstheme="minorHAnsi"/>
          <w:sz w:val="22"/>
          <w:szCs w:val="22"/>
          <w:lang w:val="fr-BE" w:eastAsia="fr-BE"/>
        </w:rPr>
        <w:t>ons</w:t>
      </w:r>
      <w:r w:rsidRPr="006E3CAB">
        <w:rPr>
          <w:rFonts w:asciiTheme="minorHAnsi" w:hAnsiTheme="minorHAnsi" w:cstheme="minorHAnsi"/>
          <w:sz w:val="22"/>
          <w:szCs w:val="22"/>
          <w:lang w:val="fr-BE" w:eastAsia="fr-BE"/>
        </w:rPr>
        <w:t xml:space="preserve"> </w:t>
      </w:r>
      <w:r w:rsidR="00586720" w:rsidRPr="006E3CAB">
        <w:rPr>
          <w:rFonts w:asciiTheme="minorHAnsi" w:hAnsiTheme="minorHAnsi" w:cstheme="minorHAnsi"/>
          <w:sz w:val="22"/>
          <w:szCs w:val="22"/>
          <w:lang w:val="fr-BE" w:eastAsia="fr-BE"/>
        </w:rPr>
        <w:t xml:space="preserve">la </w:t>
      </w:r>
      <w:r w:rsidR="00F0223B">
        <w:rPr>
          <w:rFonts w:asciiTheme="minorHAnsi" w:hAnsiTheme="minorHAnsi" w:cstheme="minorHAnsi"/>
          <w:sz w:val="22"/>
          <w:szCs w:val="22"/>
          <w:lang w:val="fr-BE" w:eastAsia="fr-BE"/>
        </w:rPr>
        <w:t xml:space="preserve">partie </w:t>
      </w:r>
      <w:r w:rsidR="00586720" w:rsidRPr="006E3CAB">
        <w:rPr>
          <w:rFonts w:asciiTheme="minorHAnsi" w:hAnsiTheme="minorHAnsi" w:cstheme="minorHAnsi"/>
          <w:sz w:val="22"/>
          <w:szCs w:val="22"/>
          <w:lang w:val="fr-BE" w:eastAsia="fr-BE"/>
        </w:rPr>
        <w:t>défenderesse</w:t>
      </w:r>
      <w:r w:rsidR="00F0223B">
        <w:rPr>
          <w:rFonts w:asciiTheme="minorHAnsi" w:hAnsiTheme="minorHAnsi" w:cstheme="minorHAnsi"/>
          <w:sz w:val="22"/>
          <w:szCs w:val="22"/>
          <w:lang w:val="fr-BE" w:eastAsia="fr-BE"/>
        </w:rPr>
        <w:t xml:space="preserve"> </w:t>
      </w:r>
      <w:r w:rsidR="00586720" w:rsidRPr="006E3CAB">
        <w:rPr>
          <w:rFonts w:asciiTheme="minorHAnsi" w:hAnsiTheme="minorHAnsi" w:cstheme="minorHAnsi"/>
          <w:sz w:val="22"/>
          <w:szCs w:val="22"/>
          <w:lang w:val="fr-BE" w:eastAsia="fr-BE"/>
        </w:rPr>
        <w:t xml:space="preserve">à verser à Monsieur </w:t>
      </w:r>
      <w:r w:rsidR="00AC7907">
        <w:rPr>
          <w:rFonts w:asciiTheme="minorHAnsi" w:hAnsiTheme="minorHAnsi" w:cstheme="minorHAnsi"/>
          <w:sz w:val="22"/>
          <w:szCs w:val="22"/>
          <w:lang w:val="fr-BE" w:eastAsia="fr-BE"/>
        </w:rPr>
        <w:t>P</w:t>
      </w:r>
      <w:r w:rsidRPr="006E3CAB">
        <w:rPr>
          <w:rFonts w:asciiTheme="minorHAnsi" w:hAnsiTheme="minorHAnsi" w:cstheme="minorHAnsi"/>
          <w:sz w:val="22"/>
          <w:szCs w:val="22"/>
          <w:lang w:val="fr-BE" w:eastAsia="fr-BE"/>
        </w:rPr>
        <w:t xml:space="preserve">  une </w:t>
      </w:r>
      <w:r w:rsidR="00586720" w:rsidRPr="006E3CAB">
        <w:rPr>
          <w:rFonts w:asciiTheme="minorHAnsi" w:hAnsiTheme="minorHAnsi" w:cstheme="minorHAnsi"/>
          <w:sz w:val="22"/>
          <w:szCs w:val="22"/>
          <w:lang w:val="fr-BE" w:eastAsia="fr-BE"/>
        </w:rPr>
        <w:t xml:space="preserve">indemnité </w:t>
      </w:r>
      <w:r w:rsidR="00B84973">
        <w:rPr>
          <w:rFonts w:asciiTheme="minorHAnsi" w:hAnsiTheme="minorHAnsi" w:cstheme="minorHAnsi"/>
          <w:sz w:val="22"/>
          <w:szCs w:val="22"/>
          <w:lang w:val="fr-BE" w:eastAsia="fr-BE"/>
        </w:rPr>
        <w:t xml:space="preserve">forfaitaire </w:t>
      </w:r>
      <w:r w:rsidR="00586720" w:rsidRPr="006E3CAB">
        <w:rPr>
          <w:rFonts w:asciiTheme="minorHAnsi" w:hAnsiTheme="minorHAnsi" w:cstheme="minorHAnsi"/>
          <w:sz w:val="22"/>
          <w:szCs w:val="22"/>
          <w:lang w:val="fr-BE" w:eastAsia="fr-BE"/>
        </w:rPr>
        <w:t xml:space="preserve">correspondant à </w:t>
      </w:r>
      <w:r w:rsidR="00724FD0" w:rsidRPr="006E3CAB">
        <w:rPr>
          <w:rFonts w:asciiTheme="minorHAnsi" w:hAnsiTheme="minorHAnsi" w:cstheme="minorHAnsi"/>
          <w:sz w:val="22"/>
          <w:szCs w:val="22"/>
          <w:lang w:val="fr-BE" w:eastAsia="fr-BE"/>
        </w:rPr>
        <w:t>trois</w:t>
      </w:r>
      <w:r w:rsidRPr="006E3CAB">
        <w:rPr>
          <w:rFonts w:asciiTheme="minorHAnsi" w:hAnsiTheme="minorHAnsi" w:cstheme="minorHAnsi"/>
          <w:sz w:val="22"/>
          <w:szCs w:val="22"/>
          <w:lang w:val="fr-BE" w:eastAsia="fr-BE"/>
        </w:rPr>
        <w:t xml:space="preserve"> </w:t>
      </w:r>
      <w:r w:rsidR="00586720" w:rsidRPr="006E3CAB">
        <w:rPr>
          <w:rFonts w:asciiTheme="minorHAnsi" w:hAnsiTheme="minorHAnsi" w:cstheme="minorHAnsi"/>
          <w:sz w:val="22"/>
          <w:szCs w:val="22"/>
          <w:lang w:val="fr-BE" w:eastAsia="fr-BE"/>
        </w:rPr>
        <w:t>mois de rémunération brute</w:t>
      </w:r>
      <w:r w:rsidR="00B84973">
        <w:rPr>
          <w:rFonts w:asciiTheme="minorHAnsi" w:hAnsiTheme="minorHAnsi" w:cstheme="minorHAnsi"/>
          <w:sz w:val="22"/>
          <w:szCs w:val="22"/>
          <w:lang w:val="fr-BE" w:eastAsia="fr-BE"/>
        </w:rPr>
        <w:t xml:space="preserve">, soit </w:t>
      </w:r>
      <w:r w:rsidR="00B84973">
        <w:rPr>
          <w:rFonts w:ascii="Calibri" w:hAnsi="Calibri" w:cs="Calibri"/>
          <w:bCs/>
          <w:sz w:val="22"/>
          <w:szCs w:val="22"/>
        </w:rPr>
        <w:t>10.807,96 €, à majorer des intérêts.</w:t>
      </w:r>
    </w:p>
    <w:p w14:paraId="7026E3ED" w14:textId="77777777" w:rsidR="00724FD0" w:rsidRPr="006E3CAB" w:rsidRDefault="00724FD0" w:rsidP="00D368C9">
      <w:pPr>
        <w:pStyle w:val="Corpsdetexte"/>
        <w:tabs>
          <w:tab w:val="right" w:pos="7088"/>
        </w:tabs>
        <w:spacing w:before="100" w:beforeAutospacing="1" w:after="100" w:afterAutospacing="1"/>
        <w:contextualSpacing/>
        <w:rPr>
          <w:rFonts w:asciiTheme="minorHAnsi" w:hAnsiTheme="minorHAnsi" w:cstheme="minorHAnsi"/>
          <w:sz w:val="22"/>
          <w:szCs w:val="22"/>
          <w:highlight w:val="cyan"/>
        </w:rPr>
      </w:pPr>
    </w:p>
    <w:p w14:paraId="0F910150" w14:textId="702B6293" w:rsidR="00724FD0" w:rsidRPr="006E3CAB" w:rsidRDefault="00724FD0" w:rsidP="00D368C9">
      <w:pPr>
        <w:pStyle w:val="Corpsdetexte"/>
        <w:tabs>
          <w:tab w:val="right" w:pos="7088"/>
        </w:tabs>
        <w:spacing w:before="100" w:beforeAutospacing="1" w:after="100" w:afterAutospacing="1"/>
        <w:contextualSpacing/>
        <w:rPr>
          <w:rFonts w:asciiTheme="minorHAnsi" w:hAnsiTheme="minorHAnsi" w:cstheme="minorHAnsi"/>
          <w:sz w:val="22"/>
          <w:szCs w:val="22"/>
          <w:lang w:val="fr-BE" w:eastAsia="fr-BE"/>
        </w:rPr>
      </w:pPr>
      <w:r w:rsidRPr="006E3CAB">
        <w:rPr>
          <w:rFonts w:asciiTheme="minorHAnsi" w:hAnsiTheme="minorHAnsi" w:cstheme="minorHAnsi"/>
          <w:sz w:val="22"/>
          <w:szCs w:val="22"/>
          <w:lang w:val="fr-BE" w:eastAsia="fr-BE"/>
        </w:rPr>
        <w:t>Déclar</w:t>
      </w:r>
      <w:r w:rsidR="00F0223B">
        <w:rPr>
          <w:rFonts w:asciiTheme="minorHAnsi" w:hAnsiTheme="minorHAnsi" w:cstheme="minorHAnsi"/>
          <w:sz w:val="22"/>
          <w:szCs w:val="22"/>
          <w:lang w:val="fr-BE" w:eastAsia="fr-BE"/>
        </w:rPr>
        <w:t>ons</w:t>
      </w:r>
      <w:r w:rsidRPr="006E3CAB">
        <w:rPr>
          <w:rFonts w:asciiTheme="minorHAnsi" w:hAnsiTheme="minorHAnsi" w:cstheme="minorHAnsi"/>
          <w:sz w:val="22"/>
          <w:szCs w:val="22"/>
          <w:lang w:val="fr-BE" w:eastAsia="fr-BE"/>
        </w:rPr>
        <w:t xml:space="preserve"> la demande de Monsieur </w:t>
      </w:r>
      <w:r w:rsidR="00AC7907">
        <w:rPr>
          <w:rFonts w:asciiTheme="minorHAnsi" w:hAnsiTheme="minorHAnsi" w:cstheme="minorHAnsi"/>
          <w:sz w:val="22"/>
          <w:szCs w:val="22"/>
          <w:lang w:val="fr-BE" w:eastAsia="fr-BE"/>
        </w:rPr>
        <w:t>P</w:t>
      </w:r>
      <w:r w:rsidRPr="006E3CAB">
        <w:rPr>
          <w:rFonts w:asciiTheme="minorHAnsi" w:hAnsiTheme="minorHAnsi" w:cstheme="minorHAnsi"/>
          <w:sz w:val="22"/>
          <w:szCs w:val="22"/>
          <w:lang w:val="fr-BE" w:eastAsia="fr-BE"/>
        </w:rPr>
        <w:t xml:space="preserve"> en matière de harcèlement </w:t>
      </w:r>
      <w:r w:rsidR="00F0223B">
        <w:rPr>
          <w:rFonts w:asciiTheme="minorHAnsi" w:hAnsiTheme="minorHAnsi" w:cstheme="minorHAnsi"/>
          <w:sz w:val="22"/>
          <w:szCs w:val="22"/>
          <w:lang w:val="fr-BE" w:eastAsia="fr-BE"/>
        </w:rPr>
        <w:t xml:space="preserve">moral </w:t>
      </w:r>
      <w:r w:rsidRPr="006E3CAB">
        <w:rPr>
          <w:rFonts w:asciiTheme="minorHAnsi" w:hAnsiTheme="minorHAnsi" w:cstheme="minorHAnsi"/>
          <w:sz w:val="22"/>
          <w:szCs w:val="22"/>
          <w:lang w:val="fr-BE" w:eastAsia="fr-BE"/>
        </w:rPr>
        <w:t>non  fondée</w:t>
      </w:r>
      <w:r w:rsidR="00480B46">
        <w:rPr>
          <w:rFonts w:asciiTheme="minorHAnsi" w:hAnsiTheme="minorHAnsi" w:cstheme="minorHAnsi"/>
          <w:sz w:val="22"/>
          <w:szCs w:val="22"/>
          <w:lang w:val="fr-BE" w:eastAsia="fr-BE"/>
        </w:rPr>
        <w:t>.</w:t>
      </w:r>
    </w:p>
    <w:p w14:paraId="6025F8B3" w14:textId="522CCCE1" w:rsidR="00830A65" w:rsidRDefault="00605B3E" w:rsidP="00D368C9">
      <w:pPr>
        <w:tabs>
          <w:tab w:val="left" w:pos="567"/>
        </w:tabs>
        <w:spacing w:before="100" w:beforeAutospacing="1" w:after="100" w:afterAutospacing="1" w:line="240" w:lineRule="auto"/>
        <w:contextualSpacing/>
        <w:jc w:val="both"/>
        <w:rPr>
          <w:rFonts w:cstheme="minorHAnsi"/>
          <w:lang w:val="fr-BE"/>
        </w:rPr>
      </w:pPr>
      <w:r w:rsidRPr="00DB6041">
        <w:rPr>
          <w:rFonts w:cstheme="minorHAnsi"/>
          <w:lang w:val="fr-BE"/>
        </w:rPr>
        <w:t>Condamnons l</w:t>
      </w:r>
      <w:r w:rsidR="00504EB6">
        <w:rPr>
          <w:rFonts w:cstheme="minorHAnsi"/>
          <w:lang w:val="fr-BE"/>
        </w:rPr>
        <w:t xml:space="preserve">a partie défenderesse </w:t>
      </w:r>
      <w:r w:rsidR="00B32931">
        <w:rPr>
          <w:rFonts w:cstheme="minorHAnsi"/>
          <w:lang w:val="fr-BE"/>
        </w:rPr>
        <w:t>a</w:t>
      </w:r>
      <w:r w:rsidRPr="00DB6041">
        <w:rPr>
          <w:rFonts w:cstheme="minorHAnsi"/>
          <w:lang w:val="fr-BE"/>
        </w:rPr>
        <w:t>ux dépens en application de l’article 1017 du Code judiciaire, liquidés par</w:t>
      </w:r>
      <w:r w:rsidR="00830A65">
        <w:rPr>
          <w:rFonts w:cstheme="minorHAnsi"/>
          <w:lang w:val="fr-BE"/>
        </w:rPr>
        <w:t> :</w:t>
      </w:r>
    </w:p>
    <w:p w14:paraId="6F9682AC" w14:textId="60F58D31" w:rsidR="00830A65" w:rsidRPr="00830A65" w:rsidRDefault="00605B3E" w:rsidP="00830A65">
      <w:pPr>
        <w:pStyle w:val="Paragraphedeliste"/>
        <w:numPr>
          <w:ilvl w:val="0"/>
          <w:numId w:val="28"/>
        </w:numPr>
        <w:tabs>
          <w:tab w:val="left" w:pos="567"/>
        </w:tabs>
        <w:spacing w:before="100" w:beforeAutospacing="1" w:after="100" w:afterAutospacing="1" w:line="240" w:lineRule="auto"/>
        <w:ind w:left="567" w:hanging="207"/>
        <w:jc w:val="both"/>
        <w:rPr>
          <w:rFonts w:cstheme="minorHAnsi"/>
          <w:bCs/>
          <w:lang w:val="fr-BE"/>
        </w:rPr>
      </w:pPr>
      <w:r w:rsidRPr="00830A65">
        <w:rPr>
          <w:rFonts w:cstheme="minorHAnsi"/>
          <w:lang w:val="fr-BE"/>
        </w:rPr>
        <w:t xml:space="preserve">Monsieur </w:t>
      </w:r>
      <w:r w:rsidR="00AC7907">
        <w:rPr>
          <w:rFonts w:cstheme="minorHAnsi"/>
          <w:lang w:val="fr-BE"/>
        </w:rPr>
        <w:t>P</w:t>
      </w:r>
      <w:r w:rsidRPr="00830A65">
        <w:rPr>
          <w:rFonts w:cstheme="minorHAnsi"/>
          <w:lang w:val="fr-BE"/>
        </w:rPr>
        <w:t xml:space="preserve"> au montant de 1.800 € (montant de base de l’indemnité de procédure </w:t>
      </w:r>
      <w:r w:rsidRPr="00830A65">
        <w:rPr>
          <w:rFonts w:cstheme="minorHAnsi"/>
          <w:bCs/>
          <w:lang w:val="fr-BE"/>
        </w:rPr>
        <w:t>relative aux affaires non év</w:t>
      </w:r>
      <w:r w:rsidR="000C15AD" w:rsidRPr="00830A65">
        <w:rPr>
          <w:rFonts w:cstheme="minorHAnsi"/>
          <w:bCs/>
          <w:lang w:val="fr-BE"/>
        </w:rPr>
        <w:t>al</w:t>
      </w:r>
      <w:r w:rsidRPr="00830A65">
        <w:rPr>
          <w:rFonts w:cstheme="minorHAnsi"/>
          <w:bCs/>
          <w:lang w:val="fr-BE"/>
        </w:rPr>
        <w:t>uables en argent de la compétence du tribunal du travail)</w:t>
      </w:r>
      <w:r w:rsidRPr="00830A65">
        <w:rPr>
          <w:rFonts w:cstheme="minorHAnsi"/>
          <w:b/>
          <w:bCs/>
          <w:u w:val="single"/>
          <w:lang w:val="fr-BE"/>
        </w:rPr>
        <w:t xml:space="preserve"> et taxée au montant de base de 1.</w:t>
      </w:r>
      <w:r w:rsidR="000C15AD" w:rsidRPr="00830A65">
        <w:rPr>
          <w:rFonts w:cstheme="minorHAnsi"/>
          <w:b/>
          <w:bCs/>
          <w:u w:val="single"/>
          <w:lang w:val="fr-BE"/>
        </w:rPr>
        <w:t>800</w:t>
      </w:r>
      <w:r w:rsidRPr="00830A65">
        <w:rPr>
          <w:rFonts w:cstheme="minorHAnsi"/>
          <w:b/>
          <w:bCs/>
          <w:u w:val="single"/>
          <w:lang w:val="fr-BE"/>
        </w:rPr>
        <w:t xml:space="preserve"> €</w:t>
      </w:r>
      <w:r w:rsidR="00480B46">
        <w:rPr>
          <w:rFonts w:cstheme="minorHAnsi"/>
          <w:b/>
          <w:bCs/>
          <w:u w:val="single"/>
          <w:lang w:val="fr-BE"/>
        </w:rPr>
        <w:t>,</w:t>
      </w:r>
    </w:p>
    <w:p w14:paraId="194C2BE1" w14:textId="4BEBA4D4" w:rsidR="00AD199B" w:rsidRDefault="000C15AD" w:rsidP="00830A65">
      <w:pPr>
        <w:pStyle w:val="Paragraphedeliste"/>
        <w:numPr>
          <w:ilvl w:val="0"/>
          <w:numId w:val="28"/>
        </w:numPr>
        <w:tabs>
          <w:tab w:val="left" w:pos="567"/>
        </w:tabs>
        <w:spacing w:before="100" w:beforeAutospacing="1" w:after="100" w:afterAutospacing="1" w:line="240" w:lineRule="auto"/>
        <w:ind w:left="567" w:hanging="218"/>
        <w:jc w:val="both"/>
        <w:rPr>
          <w:rFonts w:cstheme="minorHAnsi"/>
          <w:bCs/>
          <w:lang w:val="fr-BE"/>
        </w:rPr>
      </w:pPr>
      <w:r w:rsidRPr="00830A65">
        <w:rPr>
          <w:rFonts w:cstheme="minorHAnsi"/>
          <w:lang w:val="fr-BE"/>
        </w:rPr>
        <w:t xml:space="preserve">UNIA au </w:t>
      </w:r>
      <w:r w:rsidR="00605B3E" w:rsidRPr="00830A65">
        <w:rPr>
          <w:rFonts w:cstheme="minorHAnsi"/>
          <w:lang w:val="fr-BE"/>
        </w:rPr>
        <w:t xml:space="preserve">montant de </w:t>
      </w:r>
      <w:r w:rsidRPr="00830A65">
        <w:rPr>
          <w:rFonts w:cstheme="minorHAnsi"/>
          <w:lang w:val="fr-BE"/>
        </w:rPr>
        <w:t xml:space="preserve">1.800 </w:t>
      </w:r>
      <w:r w:rsidR="00CF0A91" w:rsidRPr="00830A65">
        <w:rPr>
          <w:rFonts w:cstheme="minorHAnsi"/>
          <w:lang w:val="fr-BE"/>
        </w:rPr>
        <w:t xml:space="preserve">€ </w:t>
      </w:r>
      <w:r w:rsidR="00CD0681" w:rsidRPr="00830A65">
        <w:rPr>
          <w:rFonts w:cstheme="minorHAnsi"/>
          <w:lang w:val="fr-BE"/>
        </w:rPr>
        <w:t xml:space="preserve">(montant de base de l’indemnité de procédure </w:t>
      </w:r>
      <w:r w:rsidR="00CD0681" w:rsidRPr="00830A65">
        <w:rPr>
          <w:rFonts w:cstheme="minorHAnsi"/>
          <w:bCs/>
          <w:lang w:val="fr-BE"/>
        </w:rPr>
        <w:t>relative aux affaires non évaluables en argent de la compétence du tribunal du travail</w:t>
      </w:r>
      <w:r w:rsidR="00CD0681">
        <w:rPr>
          <w:rFonts w:cstheme="minorHAnsi"/>
          <w:b/>
          <w:bCs/>
          <w:u w:val="single"/>
          <w:lang w:val="fr-BE"/>
        </w:rPr>
        <w:t xml:space="preserve">) </w:t>
      </w:r>
      <w:r w:rsidR="00CF0A91" w:rsidRPr="00830A65">
        <w:rPr>
          <w:rFonts w:cstheme="minorHAnsi"/>
          <w:b/>
          <w:bCs/>
          <w:u w:val="single"/>
          <w:lang w:val="fr-BE"/>
        </w:rPr>
        <w:t>et</w:t>
      </w:r>
      <w:r w:rsidR="00605B3E" w:rsidRPr="00830A65">
        <w:rPr>
          <w:rFonts w:cstheme="minorHAnsi"/>
          <w:b/>
          <w:bCs/>
          <w:u w:val="single"/>
          <w:lang w:val="fr-BE"/>
        </w:rPr>
        <w:t xml:space="preserve"> taxée au montant de base de 1.</w:t>
      </w:r>
      <w:r w:rsidR="00CF0A91" w:rsidRPr="00830A65">
        <w:rPr>
          <w:rFonts w:cstheme="minorHAnsi"/>
          <w:b/>
          <w:bCs/>
          <w:u w:val="single"/>
          <w:lang w:val="fr-BE"/>
        </w:rPr>
        <w:t>800</w:t>
      </w:r>
      <w:r w:rsidR="00605B3E" w:rsidRPr="00830A65">
        <w:rPr>
          <w:rFonts w:cstheme="minorHAnsi"/>
          <w:b/>
          <w:bCs/>
          <w:u w:val="single"/>
          <w:lang w:val="fr-BE"/>
        </w:rPr>
        <w:t xml:space="preserve"> €, </w:t>
      </w:r>
      <w:r w:rsidR="00605B3E" w:rsidRPr="00830A65">
        <w:rPr>
          <w:rFonts w:cstheme="minorHAnsi"/>
          <w:bCs/>
          <w:lang w:val="fr-BE"/>
        </w:rPr>
        <w:t xml:space="preserve"> </w:t>
      </w:r>
    </w:p>
    <w:p w14:paraId="27698640" w14:textId="4ADA4AC8" w:rsidR="00605B3E" w:rsidRPr="00830A65" w:rsidRDefault="00605B3E" w:rsidP="00830A65">
      <w:pPr>
        <w:pStyle w:val="Paragraphedeliste"/>
        <w:numPr>
          <w:ilvl w:val="0"/>
          <w:numId w:val="28"/>
        </w:numPr>
        <w:tabs>
          <w:tab w:val="left" w:pos="567"/>
        </w:tabs>
        <w:spacing w:before="100" w:beforeAutospacing="1" w:after="100" w:afterAutospacing="1" w:line="240" w:lineRule="auto"/>
        <w:ind w:left="567" w:hanging="218"/>
        <w:jc w:val="both"/>
        <w:rPr>
          <w:rFonts w:cstheme="minorHAnsi"/>
          <w:bCs/>
          <w:lang w:val="fr-BE"/>
        </w:rPr>
      </w:pPr>
      <w:r w:rsidRPr="00830A65">
        <w:rPr>
          <w:rFonts w:cstheme="minorHAnsi"/>
          <w:bCs/>
          <w:lang w:val="fr-BE"/>
        </w:rPr>
        <w:t>ainsi que les 2</w:t>
      </w:r>
      <w:r w:rsidR="00DB5AC9">
        <w:rPr>
          <w:rFonts w:cstheme="minorHAnsi"/>
          <w:bCs/>
          <w:lang w:val="fr-BE"/>
        </w:rPr>
        <w:t>2</w:t>
      </w:r>
      <w:r w:rsidRPr="00830A65">
        <w:rPr>
          <w:rFonts w:cstheme="minorHAnsi"/>
          <w:bCs/>
          <w:lang w:val="fr-BE"/>
        </w:rPr>
        <w:t xml:space="preserve"> € de contribution au fonds budgétaire d’aide juridique.</w:t>
      </w:r>
    </w:p>
    <w:p w14:paraId="164FFBBA" w14:textId="47EF59D1" w:rsidR="00605B3E" w:rsidRDefault="00605B3E" w:rsidP="00D368C9">
      <w:pPr>
        <w:tabs>
          <w:tab w:val="left" w:pos="-720"/>
        </w:tabs>
        <w:suppressAutoHyphens/>
        <w:spacing w:before="100" w:beforeAutospacing="1" w:after="100" w:afterAutospacing="1" w:line="240" w:lineRule="auto"/>
        <w:contextualSpacing/>
        <w:jc w:val="both"/>
        <w:rPr>
          <w:rFonts w:cstheme="minorHAnsi"/>
          <w:lang w:val="fr-BE"/>
        </w:rPr>
      </w:pPr>
      <w:r w:rsidRPr="00DB6041">
        <w:rPr>
          <w:rFonts w:cstheme="minorHAnsi"/>
          <w:lang w:val="fr-BE"/>
        </w:rPr>
        <w:t>Délaissons à l</w:t>
      </w:r>
      <w:r w:rsidR="00504EB6">
        <w:rPr>
          <w:rFonts w:cstheme="minorHAnsi"/>
          <w:lang w:val="fr-BE"/>
        </w:rPr>
        <w:t xml:space="preserve">a partie défenderesse </w:t>
      </w:r>
      <w:r w:rsidRPr="00DB6041">
        <w:rPr>
          <w:rFonts w:cstheme="minorHAnsi"/>
          <w:lang w:val="fr-BE"/>
        </w:rPr>
        <w:t>ses propres dépens.</w:t>
      </w:r>
    </w:p>
    <w:p w14:paraId="31A0F4D1" w14:textId="77777777" w:rsidR="00DB6041" w:rsidRPr="006E3CAB" w:rsidRDefault="00DB6041" w:rsidP="00D368C9">
      <w:pPr>
        <w:tabs>
          <w:tab w:val="left" w:pos="-720"/>
        </w:tabs>
        <w:suppressAutoHyphens/>
        <w:spacing w:before="100" w:beforeAutospacing="1" w:after="100" w:afterAutospacing="1" w:line="240" w:lineRule="auto"/>
        <w:contextualSpacing/>
        <w:jc w:val="both"/>
        <w:rPr>
          <w:rFonts w:cstheme="minorHAnsi"/>
          <w:lang w:val="fr-BE"/>
        </w:rPr>
      </w:pPr>
    </w:p>
    <w:p w14:paraId="2C599201" w14:textId="3829A6B5" w:rsidR="00FB1024" w:rsidRPr="00A43E41" w:rsidRDefault="00D14AAB" w:rsidP="00D368C9">
      <w:pPr>
        <w:spacing w:before="100" w:beforeAutospacing="1" w:after="100" w:afterAutospacing="1" w:line="240" w:lineRule="auto"/>
        <w:contextualSpacing/>
        <w:jc w:val="both"/>
        <w:rPr>
          <w:rFonts w:cstheme="minorHAnsi"/>
          <w:lang w:val="fr-FR"/>
        </w:rPr>
      </w:pPr>
      <w:r w:rsidRPr="00A43E41">
        <w:rPr>
          <w:rFonts w:cstheme="minorHAnsi"/>
          <w:lang w:val="fr-FR"/>
        </w:rPr>
        <w:t>O</w:t>
      </w:r>
      <w:r w:rsidR="00FB1024" w:rsidRPr="00A43E41">
        <w:rPr>
          <w:rFonts w:cstheme="minorHAnsi"/>
          <w:lang w:val="fr-FR"/>
        </w:rPr>
        <w:t xml:space="preserve">rdonnons l’exécution provisoire de la présente ordonnance, </w:t>
      </w:r>
      <w:r w:rsidR="007A6AB2">
        <w:rPr>
          <w:rFonts w:cstheme="minorHAnsi"/>
          <w:lang w:val="fr-FR"/>
        </w:rPr>
        <w:t>et autorisons l</w:t>
      </w:r>
      <w:r w:rsidR="00504EB6">
        <w:rPr>
          <w:rFonts w:cstheme="minorHAnsi"/>
          <w:lang w:val="fr-FR"/>
        </w:rPr>
        <w:t xml:space="preserve">a partie défenderesse </w:t>
      </w:r>
      <w:r w:rsidR="007A6AB2">
        <w:rPr>
          <w:rFonts w:cstheme="minorHAnsi"/>
          <w:lang w:val="fr-FR"/>
        </w:rPr>
        <w:t>au cantonnement</w:t>
      </w:r>
      <w:r w:rsidR="003D357E">
        <w:rPr>
          <w:rFonts w:cstheme="minorHAnsi"/>
          <w:lang w:val="fr-FR"/>
        </w:rPr>
        <w:t xml:space="preserve"> des </w:t>
      </w:r>
      <w:r w:rsidR="00D21909">
        <w:rPr>
          <w:rFonts w:cstheme="minorHAnsi"/>
          <w:lang w:val="fr-FR"/>
        </w:rPr>
        <w:t>sommes auxquelles</w:t>
      </w:r>
      <w:r w:rsidR="0082220F">
        <w:rPr>
          <w:rFonts w:cstheme="minorHAnsi"/>
          <w:lang w:val="fr-FR"/>
        </w:rPr>
        <w:t xml:space="preserve"> elle</w:t>
      </w:r>
      <w:r w:rsidR="00D21909">
        <w:rPr>
          <w:rFonts w:cstheme="minorHAnsi"/>
          <w:lang w:val="fr-FR"/>
        </w:rPr>
        <w:t xml:space="preserve"> est condamné</w:t>
      </w:r>
      <w:r w:rsidR="0082220F">
        <w:rPr>
          <w:rFonts w:cstheme="minorHAnsi"/>
          <w:lang w:val="fr-FR"/>
        </w:rPr>
        <w:t>e</w:t>
      </w:r>
      <w:r w:rsidR="00D21909">
        <w:rPr>
          <w:rFonts w:cstheme="minorHAnsi"/>
          <w:lang w:val="fr-FR"/>
        </w:rPr>
        <w:t xml:space="preserve"> auprès de la Caisse de Dé</w:t>
      </w:r>
      <w:r w:rsidR="009B5ED0">
        <w:rPr>
          <w:rFonts w:cstheme="minorHAnsi"/>
          <w:lang w:val="fr-FR"/>
        </w:rPr>
        <w:t>pôts et Consignations</w:t>
      </w:r>
      <w:r w:rsidR="00FB1024" w:rsidRPr="00A43E41">
        <w:rPr>
          <w:rFonts w:cstheme="minorHAnsi"/>
          <w:lang w:val="fr-FR"/>
        </w:rPr>
        <w:t>.</w:t>
      </w:r>
    </w:p>
    <w:tbl>
      <w:tblPr>
        <w:tblW w:w="9640"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8222"/>
      </w:tblGrid>
      <w:tr w:rsidR="0069088C" w:rsidRPr="00AC7907" w14:paraId="2C599206" w14:textId="77777777" w:rsidTr="0069088C">
        <w:trPr>
          <w:trHeight w:val="1387"/>
        </w:trPr>
        <w:tc>
          <w:tcPr>
            <w:tcW w:w="1418" w:type="dxa"/>
            <w:tcBorders>
              <w:top w:val="nil"/>
              <w:left w:val="nil"/>
              <w:bottom w:val="nil"/>
              <w:right w:val="nil"/>
            </w:tcBorders>
          </w:tcPr>
          <w:p w14:paraId="2C599202" w14:textId="77777777" w:rsidR="0069088C" w:rsidRPr="006E3CAB" w:rsidRDefault="0069088C" w:rsidP="00D368C9">
            <w:pPr>
              <w:spacing w:before="100" w:beforeAutospacing="1" w:after="100" w:afterAutospacing="1" w:line="240" w:lineRule="auto"/>
              <w:contextualSpacing/>
              <w:jc w:val="both"/>
              <w:rPr>
                <w:rFonts w:cstheme="minorHAnsi"/>
                <w:highlight w:val="cyan"/>
                <w:lang w:val="fr-FR"/>
              </w:rPr>
            </w:pPr>
          </w:p>
          <w:p w14:paraId="2C599203" w14:textId="77777777" w:rsidR="0069088C" w:rsidRPr="006E3CAB" w:rsidRDefault="0069088C" w:rsidP="00D368C9">
            <w:pPr>
              <w:spacing w:before="100" w:beforeAutospacing="1" w:after="100" w:afterAutospacing="1" w:line="240" w:lineRule="auto"/>
              <w:contextualSpacing/>
              <w:jc w:val="both"/>
              <w:rPr>
                <w:rFonts w:cstheme="minorHAnsi"/>
                <w:highlight w:val="cyan"/>
                <w:lang w:val="fr-FR"/>
              </w:rPr>
            </w:pPr>
          </w:p>
          <w:p w14:paraId="2C599204" w14:textId="77777777" w:rsidR="0069088C" w:rsidRPr="006E3CAB" w:rsidRDefault="0069088C" w:rsidP="00D368C9">
            <w:pPr>
              <w:spacing w:before="100" w:beforeAutospacing="1" w:after="100" w:afterAutospacing="1" w:line="240" w:lineRule="auto"/>
              <w:contextualSpacing/>
              <w:jc w:val="both"/>
              <w:rPr>
                <w:rFonts w:cstheme="minorHAnsi"/>
                <w:highlight w:val="cyan"/>
                <w:lang w:val="fr-FR"/>
              </w:rPr>
            </w:pPr>
          </w:p>
        </w:tc>
        <w:tc>
          <w:tcPr>
            <w:tcW w:w="8222" w:type="dxa"/>
            <w:tcBorders>
              <w:top w:val="nil"/>
              <w:left w:val="nil"/>
              <w:bottom w:val="nil"/>
              <w:right w:val="nil"/>
            </w:tcBorders>
          </w:tcPr>
          <w:p w14:paraId="2C599205" w14:textId="2627638C" w:rsidR="0077572D" w:rsidRPr="006E3CAB" w:rsidRDefault="0077572D" w:rsidP="00D368C9">
            <w:pPr>
              <w:suppressAutoHyphens/>
              <w:spacing w:before="100" w:beforeAutospacing="1" w:after="100" w:afterAutospacing="1" w:line="240" w:lineRule="auto"/>
              <w:contextualSpacing/>
              <w:jc w:val="both"/>
              <w:rPr>
                <w:rFonts w:cstheme="minorHAnsi"/>
                <w:spacing w:val="-3"/>
                <w:lang w:val="fr-FR"/>
              </w:rPr>
            </w:pPr>
          </w:p>
        </w:tc>
      </w:tr>
      <w:tr w:rsidR="0077572D" w:rsidRPr="00AC7907" w14:paraId="304795A3" w14:textId="77777777" w:rsidTr="0043751B">
        <w:trPr>
          <w:trHeight w:val="1387"/>
        </w:trPr>
        <w:tc>
          <w:tcPr>
            <w:tcW w:w="1418" w:type="dxa"/>
            <w:tcBorders>
              <w:top w:val="nil"/>
              <w:left w:val="nil"/>
              <w:bottom w:val="nil"/>
              <w:right w:val="nil"/>
            </w:tcBorders>
          </w:tcPr>
          <w:p w14:paraId="2B3D40A6" w14:textId="77777777" w:rsidR="0077572D" w:rsidRPr="006E3CAB" w:rsidRDefault="0077572D" w:rsidP="00D368C9">
            <w:pPr>
              <w:spacing w:before="100" w:beforeAutospacing="1" w:after="100" w:afterAutospacing="1" w:line="240" w:lineRule="auto"/>
              <w:contextualSpacing/>
              <w:jc w:val="both"/>
              <w:rPr>
                <w:rFonts w:cstheme="minorHAnsi"/>
                <w:lang w:val="fr-FR"/>
              </w:rPr>
            </w:pPr>
          </w:p>
          <w:p w14:paraId="67E5F74C" w14:textId="77777777" w:rsidR="0077572D" w:rsidRPr="006E3CAB" w:rsidRDefault="0077572D" w:rsidP="00D368C9">
            <w:pPr>
              <w:spacing w:before="100" w:beforeAutospacing="1" w:after="100" w:afterAutospacing="1" w:line="240" w:lineRule="auto"/>
              <w:contextualSpacing/>
              <w:jc w:val="both"/>
              <w:rPr>
                <w:rFonts w:cstheme="minorHAnsi"/>
                <w:lang w:val="fr-FR"/>
              </w:rPr>
            </w:pPr>
          </w:p>
          <w:p w14:paraId="7C4CFF87" w14:textId="77777777" w:rsidR="0077572D" w:rsidRPr="006E3CAB" w:rsidRDefault="0077572D" w:rsidP="00D368C9">
            <w:pPr>
              <w:spacing w:before="100" w:beforeAutospacing="1" w:after="100" w:afterAutospacing="1" w:line="240" w:lineRule="auto"/>
              <w:contextualSpacing/>
              <w:jc w:val="both"/>
              <w:rPr>
                <w:rFonts w:cstheme="minorHAnsi"/>
                <w:lang w:val="fr-FR"/>
              </w:rPr>
            </w:pPr>
          </w:p>
        </w:tc>
        <w:tc>
          <w:tcPr>
            <w:tcW w:w="8222" w:type="dxa"/>
            <w:tcBorders>
              <w:top w:val="nil"/>
              <w:left w:val="nil"/>
              <w:bottom w:val="nil"/>
              <w:right w:val="nil"/>
            </w:tcBorders>
          </w:tcPr>
          <w:p w14:paraId="30F3C931" w14:textId="01240A89" w:rsidR="0077572D" w:rsidRPr="006E3CAB" w:rsidRDefault="0077572D" w:rsidP="00D368C9">
            <w:pPr>
              <w:suppressAutoHyphens/>
              <w:spacing w:before="100" w:beforeAutospacing="1" w:after="100" w:afterAutospacing="1" w:line="240" w:lineRule="auto"/>
              <w:contextualSpacing/>
              <w:jc w:val="both"/>
              <w:rPr>
                <w:rFonts w:cstheme="minorHAnsi"/>
                <w:b/>
                <w:spacing w:val="-3"/>
                <w:lang w:val="fr-FR"/>
              </w:rPr>
            </w:pPr>
            <w:r w:rsidRPr="006E3CAB">
              <w:rPr>
                <w:rFonts w:cstheme="minorHAnsi"/>
                <w:spacing w:val="-3"/>
                <w:lang w:val="fr-FR"/>
              </w:rPr>
              <w:t xml:space="preserve">Fait et prononcé, en langue française, </w:t>
            </w:r>
            <w:r w:rsidRPr="006E3CAB">
              <w:rPr>
                <w:rFonts w:cstheme="minorHAnsi"/>
                <w:b/>
                <w:spacing w:val="-3"/>
                <w:lang w:val="fr-FR"/>
              </w:rPr>
              <w:t>en Notre Cabinet,</w:t>
            </w:r>
            <w:r w:rsidRPr="006E3CAB">
              <w:rPr>
                <w:rFonts w:cstheme="minorHAnsi"/>
                <w:spacing w:val="-3"/>
                <w:lang w:val="fr-FR"/>
              </w:rPr>
              <w:t xml:space="preserve"> sis à 4000 LIEGE, Place Saint-Lambert, 30/0004, le </w:t>
            </w:r>
            <w:r w:rsidRPr="006E3CAB">
              <w:rPr>
                <w:rFonts w:cstheme="minorHAnsi"/>
                <w:b/>
                <w:spacing w:val="-3"/>
                <w:lang w:val="fr-FR"/>
              </w:rPr>
              <w:t>MARDI VINGT-QUATRE OCTOBRE</w:t>
            </w:r>
            <w:r w:rsidRPr="006E3CAB">
              <w:rPr>
                <w:rFonts w:cstheme="minorHAnsi"/>
                <w:b/>
                <w:lang w:val="fr-FR"/>
              </w:rPr>
              <w:t xml:space="preserve"> DEUX MILLE VINGT-TROIS</w:t>
            </w:r>
            <w:r w:rsidRPr="006E3CAB">
              <w:rPr>
                <w:rFonts w:cstheme="minorHAnsi"/>
                <w:b/>
                <w:spacing w:val="-3"/>
                <w:lang w:val="fr-FR"/>
              </w:rPr>
              <w:t>,</w:t>
            </w:r>
          </w:p>
          <w:p w14:paraId="137A2D0D" w14:textId="77777777" w:rsidR="0077572D" w:rsidRPr="006E3CAB" w:rsidRDefault="0077572D" w:rsidP="00D368C9">
            <w:pPr>
              <w:suppressAutoHyphens/>
              <w:spacing w:before="100" w:beforeAutospacing="1" w:after="100" w:afterAutospacing="1" w:line="240" w:lineRule="auto"/>
              <w:contextualSpacing/>
              <w:jc w:val="both"/>
              <w:rPr>
                <w:rFonts w:cstheme="minorHAnsi"/>
                <w:b/>
                <w:spacing w:val="-3"/>
                <w:lang w:val="fr-FR"/>
              </w:rPr>
            </w:pPr>
          </w:p>
          <w:p w14:paraId="511F13CE" w14:textId="77777777" w:rsidR="0077572D" w:rsidRPr="006E3CAB" w:rsidRDefault="0077572D" w:rsidP="00D368C9">
            <w:pPr>
              <w:suppressAutoHyphens/>
              <w:spacing w:before="100" w:beforeAutospacing="1" w:after="100" w:afterAutospacing="1" w:line="240" w:lineRule="auto"/>
              <w:contextualSpacing/>
              <w:jc w:val="both"/>
              <w:rPr>
                <w:rFonts w:cstheme="minorHAnsi"/>
                <w:spacing w:val="-3"/>
                <w:lang w:val="fr-FR"/>
              </w:rPr>
            </w:pPr>
          </w:p>
        </w:tc>
      </w:tr>
    </w:tbl>
    <w:p w14:paraId="2C59920C" w14:textId="050E4B1A" w:rsidR="008A13B5" w:rsidRPr="006E3CAB" w:rsidRDefault="0077572D" w:rsidP="00D368C9">
      <w:pPr>
        <w:spacing w:before="100" w:beforeAutospacing="1" w:after="100" w:afterAutospacing="1" w:line="240" w:lineRule="auto"/>
        <w:contextualSpacing/>
        <w:jc w:val="both"/>
        <w:rPr>
          <w:rFonts w:cstheme="minorHAnsi"/>
          <w:lang w:val="fr-FR"/>
        </w:rPr>
      </w:pPr>
      <w:r w:rsidRPr="006E3CAB">
        <w:rPr>
          <w:rFonts w:cstheme="minorHAnsi"/>
          <w:lang w:val="fr-FR"/>
        </w:rPr>
        <w:t xml:space="preserve">Le Greffier, </w:t>
      </w:r>
      <w:r w:rsidRPr="006E3CAB">
        <w:rPr>
          <w:rFonts w:cstheme="minorHAnsi"/>
          <w:lang w:val="fr-FR"/>
        </w:rPr>
        <w:tab/>
      </w:r>
      <w:r w:rsidRPr="006E3CAB">
        <w:rPr>
          <w:rFonts w:cstheme="minorHAnsi"/>
          <w:lang w:val="fr-FR"/>
        </w:rPr>
        <w:tab/>
      </w:r>
      <w:r w:rsidRPr="006E3CAB">
        <w:rPr>
          <w:rFonts w:cstheme="minorHAnsi"/>
          <w:lang w:val="fr-FR"/>
        </w:rPr>
        <w:tab/>
        <w:t xml:space="preserve">Le Président de tribunal du travail de Liège, </w:t>
      </w:r>
    </w:p>
    <w:sectPr w:rsidR="008A13B5" w:rsidRPr="006E3CA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B225" w14:textId="77777777" w:rsidR="00A95732" w:rsidRDefault="00A95732" w:rsidP="00FB1024">
      <w:pPr>
        <w:spacing w:after="0" w:line="240" w:lineRule="auto"/>
      </w:pPr>
      <w:r>
        <w:separator/>
      </w:r>
    </w:p>
  </w:endnote>
  <w:endnote w:type="continuationSeparator" w:id="0">
    <w:p w14:paraId="28C3193B" w14:textId="77777777" w:rsidR="00A95732" w:rsidRDefault="00A95732" w:rsidP="00FB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954661"/>
      <w:docPartObj>
        <w:docPartGallery w:val="Page Numbers (Bottom of Page)"/>
        <w:docPartUnique/>
      </w:docPartObj>
    </w:sdtPr>
    <w:sdtEndPr/>
    <w:sdtContent>
      <w:p w14:paraId="0152D58B" w14:textId="4F7F97F7" w:rsidR="00A8600B" w:rsidRDefault="00A8600B">
        <w:pPr>
          <w:pStyle w:val="Pieddepage"/>
          <w:jc w:val="right"/>
        </w:pPr>
        <w:r>
          <w:fldChar w:fldCharType="begin"/>
        </w:r>
        <w:r>
          <w:instrText>PAGE   \* MERGEFORMAT</w:instrText>
        </w:r>
        <w:r>
          <w:fldChar w:fldCharType="separate"/>
        </w:r>
        <w:r>
          <w:rPr>
            <w:lang w:val="fr-FR"/>
          </w:rPr>
          <w:t>2</w:t>
        </w:r>
        <w:r>
          <w:fldChar w:fldCharType="end"/>
        </w:r>
      </w:p>
    </w:sdtContent>
  </w:sdt>
  <w:p w14:paraId="391FEE82" w14:textId="77777777" w:rsidR="006A3ABD" w:rsidRDefault="006A3A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758B" w14:textId="77777777" w:rsidR="00A95732" w:rsidRDefault="00A95732" w:rsidP="00FB1024">
      <w:pPr>
        <w:spacing w:after="0" w:line="240" w:lineRule="auto"/>
      </w:pPr>
      <w:r>
        <w:separator/>
      </w:r>
    </w:p>
  </w:footnote>
  <w:footnote w:type="continuationSeparator" w:id="0">
    <w:p w14:paraId="00CC9CAC" w14:textId="77777777" w:rsidR="00A95732" w:rsidRDefault="00A95732" w:rsidP="00FB1024">
      <w:pPr>
        <w:spacing w:after="0" w:line="240" w:lineRule="auto"/>
      </w:pPr>
      <w:r>
        <w:continuationSeparator/>
      </w:r>
    </w:p>
  </w:footnote>
  <w:footnote w:id="1">
    <w:p w14:paraId="75682320" w14:textId="77777777" w:rsidR="00E52FAC" w:rsidRPr="00181E8E" w:rsidRDefault="00E52FAC" w:rsidP="00E52FAC">
      <w:pPr>
        <w:pStyle w:val="Notedebasdepage"/>
        <w:rPr>
          <w:sz w:val="18"/>
          <w:szCs w:val="18"/>
        </w:rPr>
      </w:pPr>
      <w:r w:rsidRPr="00181E8E">
        <w:rPr>
          <w:rStyle w:val="Appelnotedebasdep"/>
          <w:sz w:val="18"/>
          <w:szCs w:val="18"/>
        </w:rPr>
        <w:footnoteRef/>
      </w:r>
      <w:r w:rsidRPr="00181E8E">
        <w:rPr>
          <w:sz w:val="18"/>
          <w:szCs w:val="18"/>
        </w:rPr>
        <w:t xml:space="preserve"> Article 587bis, 2</w:t>
      </w:r>
      <w:r w:rsidRPr="00181E8E">
        <w:rPr>
          <w:sz w:val="18"/>
          <w:szCs w:val="18"/>
          <w:vertAlign w:val="superscript"/>
        </w:rPr>
        <w:t>e</w:t>
      </w:r>
      <w:r w:rsidRPr="00181E8E">
        <w:rPr>
          <w:sz w:val="18"/>
          <w:szCs w:val="18"/>
        </w:rPr>
        <w:t xml:space="preserve"> et 4° bis, du Code judiciaire.</w:t>
      </w:r>
    </w:p>
  </w:footnote>
  <w:footnote w:id="2">
    <w:p w14:paraId="484DD817" w14:textId="314A4FC7" w:rsidR="000D72EE" w:rsidRPr="00181E8E" w:rsidRDefault="000D72EE">
      <w:pPr>
        <w:pStyle w:val="Notedebasdepage"/>
        <w:rPr>
          <w:sz w:val="18"/>
          <w:szCs w:val="18"/>
        </w:rPr>
      </w:pPr>
      <w:r w:rsidRPr="00181E8E">
        <w:rPr>
          <w:rStyle w:val="Appelnotedebasdep"/>
          <w:sz w:val="18"/>
          <w:szCs w:val="18"/>
        </w:rPr>
        <w:footnoteRef/>
      </w:r>
      <w:r w:rsidRPr="00181E8E">
        <w:rPr>
          <w:sz w:val="18"/>
          <w:szCs w:val="18"/>
        </w:rPr>
        <w:t xml:space="preserve"> </w:t>
      </w:r>
      <w:r w:rsidRPr="00181E8E">
        <w:rPr>
          <w:rFonts w:cstheme="minorHAnsi"/>
          <w:sz w:val="18"/>
          <w:szCs w:val="18"/>
          <w:lang w:val="fr-BE"/>
        </w:rPr>
        <w:t xml:space="preserve">Cass. 27 septembre 2010, publié sur </w:t>
      </w:r>
      <w:hyperlink r:id="rId1" w:history="1">
        <w:r w:rsidRPr="00181E8E">
          <w:rPr>
            <w:rStyle w:val="Lienhypertexte"/>
            <w:rFonts w:cstheme="minorHAnsi"/>
            <w:sz w:val="18"/>
            <w:szCs w:val="18"/>
            <w:lang w:val="fr-BE"/>
          </w:rPr>
          <w:t>www.juridat.be</w:t>
        </w:r>
      </w:hyperlink>
    </w:p>
  </w:footnote>
  <w:footnote w:id="3">
    <w:p w14:paraId="371888E6" w14:textId="77777777" w:rsidR="00E52FAC" w:rsidRPr="00215D93" w:rsidRDefault="00E52FAC" w:rsidP="00E52FAC">
      <w:pPr>
        <w:pStyle w:val="Notedebasdepage"/>
        <w:rPr>
          <w:lang w:val="fr-BE"/>
        </w:rPr>
      </w:pPr>
      <w:r w:rsidRPr="00181E8E">
        <w:rPr>
          <w:rStyle w:val="Appelnotedebasdep"/>
          <w:sz w:val="18"/>
          <w:szCs w:val="18"/>
        </w:rPr>
        <w:footnoteRef/>
      </w:r>
      <w:r w:rsidRPr="00181E8E">
        <w:rPr>
          <w:sz w:val="18"/>
          <w:szCs w:val="18"/>
        </w:rPr>
        <w:t xml:space="preserve"> </w:t>
      </w:r>
      <w:r w:rsidRPr="00181E8E">
        <w:rPr>
          <w:rFonts w:cstheme="minorHAnsi"/>
          <w:sz w:val="18"/>
          <w:szCs w:val="18"/>
          <w:lang w:val="fr-BE"/>
        </w:rPr>
        <w:t>Cass., 16 février 2015, S.13.0085.F, Juportal.</w:t>
      </w:r>
    </w:p>
  </w:footnote>
  <w:footnote w:id="4">
    <w:p w14:paraId="77804145" w14:textId="1F6EC5A5" w:rsidR="00E2504E" w:rsidRPr="00206C48" w:rsidRDefault="00E2504E">
      <w:pPr>
        <w:pStyle w:val="Notedebasdepage"/>
        <w:rPr>
          <w:rFonts w:asciiTheme="minorHAnsi" w:hAnsiTheme="minorHAnsi" w:cstheme="minorHAnsi"/>
        </w:rPr>
      </w:pPr>
      <w:r w:rsidRPr="00206C48">
        <w:rPr>
          <w:rStyle w:val="Appelnotedebasdep"/>
          <w:rFonts w:asciiTheme="minorHAnsi" w:hAnsiTheme="minorHAnsi" w:cstheme="minorHAnsi"/>
        </w:rPr>
        <w:footnoteRef/>
      </w:r>
      <w:r w:rsidRPr="00206C48">
        <w:rPr>
          <w:rFonts w:asciiTheme="minorHAnsi" w:hAnsiTheme="minorHAnsi" w:cstheme="minorHAnsi"/>
        </w:rPr>
        <w:t xml:space="preserve"> </w:t>
      </w:r>
      <w:hyperlink r:id="rId2" w:history="1">
        <w:r w:rsidR="00206C48" w:rsidRPr="00181E8E">
          <w:rPr>
            <w:rStyle w:val="Lienhypertexte"/>
            <w:rFonts w:cstheme="minorHAnsi"/>
            <w:sz w:val="18"/>
            <w:szCs w:val="18"/>
          </w:rPr>
          <w:t>https://www.wallonie.be/fr/acteurs-et-institutions/wallonie/autres-acteurs-publics-de-la-wallonie/operateur-de-transport-de-wallonie-otw</w:t>
        </w:r>
      </w:hyperlink>
      <w:r w:rsidR="00206C48" w:rsidRPr="00181E8E">
        <w:rPr>
          <w:rFonts w:asciiTheme="minorHAnsi" w:hAnsiTheme="minorHAnsi" w:cstheme="minorHAnsi"/>
          <w:sz w:val="18"/>
          <w:szCs w:val="18"/>
        </w:rPr>
        <w:t xml:space="preserve"> </w:t>
      </w:r>
    </w:p>
  </w:footnote>
  <w:footnote w:id="5">
    <w:p w14:paraId="14AEBF8B" w14:textId="5705EFD1" w:rsidR="00A41FC4" w:rsidRPr="00181E8E" w:rsidRDefault="00A41FC4" w:rsidP="00A41FC4">
      <w:pPr>
        <w:pStyle w:val="Notedebasdepage"/>
        <w:rPr>
          <w:rFonts w:cstheme="minorHAnsi"/>
          <w:sz w:val="18"/>
          <w:szCs w:val="18"/>
        </w:rPr>
      </w:pPr>
      <w:r w:rsidRPr="00181E8E">
        <w:rPr>
          <w:rStyle w:val="Appelnotedebasdep"/>
          <w:rFonts w:cstheme="minorHAnsi"/>
          <w:sz w:val="18"/>
          <w:szCs w:val="18"/>
        </w:rPr>
        <w:footnoteRef/>
      </w:r>
      <w:r w:rsidRPr="00181E8E">
        <w:rPr>
          <w:rFonts w:cstheme="minorHAnsi"/>
          <w:sz w:val="18"/>
          <w:szCs w:val="18"/>
        </w:rPr>
        <w:t xml:space="preserve"> V. Ghesquière, I. Hachez et C. Van Basselaere, </w:t>
      </w:r>
      <w:r w:rsidRPr="00181E8E">
        <w:rPr>
          <w:rFonts w:cstheme="minorHAnsi"/>
          <w:i/>
          <w:sz w:val="18"/>
          <w:szCs w:val="18"/>
        </w:rPr>
        <w:t>« </w:t>
      </w:r>
      <w:r w:rsidRPr="00181E8E">
        <w:rPr>
          <w:rFonts w:cstheme="minorHAnsi"/>
          <w:iCs/>
          <w:sz w:val="18"/>
          <w:szCs w:val="18"/>
        </w:rPr>
        <w:t>La discrimination fondée sur le handicap</w:t>
      </w:r>
      <w:r w:rsidRPr="00181E8E">
        <w:rPr>
          <w:rFonts w:cstheme="minorHAnsi"/>
          <w:i/>
          <w:sz w:val="18"/>
          <w:szCs w:val="18"/>
        </w:rPr>
        <w:t> »,</w:t>
      </w:r>
      <w:r w:rsidRPr="00181E8E">
        <w:rPr>
          <w:rFonts w:cstheme="minorHAnsi"/>
          <w:sz w:val="18"/>
          <w:szCs w:val="18"/>
        </w:rPr>
        <w:t xml:space="preserve"> </w:t>
      </w:r>
      <w:r w:rsidR="00E33EF8" w:rsidRPr="00181E8E">
        <w:rPr>
          <w:rFonts w:cstheme="minorHAnsi"/>
          <w:i/>
          <w:iCs/>
          <w:sz w:val="18"/>
          <w:szCs w:val="18"/>
        </w:rPr>
        <w:t>in</w:t>
      </w:r>
      <w:r w:rsidRPr="00181E8E">
        <w:rPr>
          <w:rFonts w:cstheme="minorHAnsi"/>
          <w:i/>
          <w:iCs/>
          <w:sz w:val="18"/>
          <w:szCs w:val="18"/>
        </w:rPr>
        <w:t> Comprendre et pratiquer le droit de la lutte contre les discriminations</w:t>
      </w:r>
      <w:r w:rsidRPr="00181E8E">
        <w:rPr>
          <w:rFonts w:cstheme="minorHAnsi"/>
          <w:sz w:val="18"/>
          <w:szCs w:val="18"/>
        </w:rPr>
        <w:t>, Anthémis 2018, Volume 184, pp 74 à 136.</w:t>
      </w:r>
    </w:p>
  </w:footnote>
  <w:footnote w:id="6">
    <w:p w14:paraId="0EF6ED00" w14:textId="77777777" w:rsidR="00CC7A5D" w:rsidRPr="00525A83" w:rsidRDefault="00CC7A5D" w:rsidP="00A41FC4">
      <w:pPr>
        <w:pStyle w:val="Notedebasdepage"/>
      </w:pPr>
      <w:r w:rsidRPr="00181E8E">
        <w:rPr>
          <w:rStyle w:val="Appelnotedebasdep"/>
          <w:sz w:val="18"/>
          <w:szCs w:val="18"/>
        </w:rPr>
        <w:footnoteRef/>
      </w:r>
      <w:r w:rsidRPr="00181E8E">
        <w:rPr>
          <w:sz w:val="18"/>
          <w:szCs w:val="18"/>
        </w:rPr>
        <w:t xml:space="preserve"> </w:t>
      </w:r>
      <w:r w:rsidRPr="00181E8E">
        <w:rPr>
          <w:rFonts w:cs="Calibri"/>
          <w:color w:val="1D1D1B"/>
          <w:sz w:val="18"/>
          <w:szCs w:val="18"/>
          <w:shd w:val="clear" w:color="auto" w:fill="FFFFFF"/>
          <w:lang w:val="fr-BE"/>
        </w:rPr>
        <w:t>C.J.U.E. 11 avril 2013, HK Danmark, affaires jointes  C-335/11, et  C-337/11.</w:t>
      </w:r>
      <w:r w:rsidRPr="00181E8E">
        <w:rPr>
          <w:rFonts w:ascii="Calibri" w:hAnsi="Calibri" w:cs="Calibri"/>
          <w:color w:val="1D1D1B"/>
          <w:sz w:val="18"/>
          <w:szCs w:val="18"/>
          <w:shd w:val="clear" w:color="auto" w:fill="FFFFFF"/>
          <w:lang w:val="fr-BE"/>
        </w:rPr>
        <w:t> </w:t>
      </w:r>
    </w:p>
  </w:footnote>
  <w:footnote w:id="7">
    <w:p w14:paraId="38D9CFF0" w14:textId="23CB238E" w:rsidR="00A41FC4" w:rsidRPr="00181E8E" w:rsidRDefault="00A41FC4" w:rsidP="00FC4E4B">
      <w:pPr>
        <w:pStyle w:val="Notedebasdepage"/>
        <w:jc w:val="both"/>
        <w:rPr>
          <w:rFonts w:cstheme="minorHAnsi"/>
          <w:sz w:val="18"/>
          <w:szCs w:val="18"/>
        </w:rPr>
      </w:pPr>
      <w:r w:rsidRPr="00181E8E">
        <w:rPr>
          <w:rStyle w:val="Appelnotedebasdep"/>
          <w:rFonts w:cstheme="minorHAnsi"/>
          <w:sz w:val="18"/>
          <w:szCs w:val="18"/>
        </w:rPr>
        <w:footnoteRef/>
      </w:r>
      <w:r w:rsidRPr="00181E8E">
        <w:rPr>
          <w:rFonts w:cstheme="minorHAnsi"/>
          <w:sz w:val="18"/>
          <w:szCs w:val="18"/>
        </w:rPr>
        <w:t xml:space="preserve"> V. Ghesquière, I. Hachez et C. Van Basselaere, </w:t>
      </w:r>
      <w:r w:rsidRPr="00181E8E">
        <w:rPr>
          <w:rFonts w:cstheme="minorHAnsi"/>
          <w:i/>
          <w:sz w:val="18"/>
          <w:szCs w:val="18"/>
        </w:rPr>
        <w:t>« </w:t>
      </w:r>
      <w:r w:rsidRPr="00181E8E">
        <w:rPr>
          <w:rFonts w:cstheme="minorHAnsi"/>
          <w:iCs/>
          <w:sz w:val="18"/>
          <w:szCs w:val="18"/>
        </w:rPr>
        <w:t>La discrimination fondée sur le handicap</w:t>
      </w:r>
      <w:r w:rsidRPr="00181E8E">
        <w:rPr>
          <w:rFonts w:cstheme="minorHAnsi"/>
          <w:i/>
          <w:sz w:val="18"/>
          <w:szCs w:val="18"/>
        </w:rPr>
        <w:t> »</w:t>
      </w:r>
      <w:r w:rsidR="00FC4E4B" w:rsidRPr="00181E8E">
        <w:rPr>
          <w:rFonts w:cstheme="minorHAnsi"/>
          <w:i/>
          <w:sz w:val="18"/>
          <w:szCs w:val="18"/>
        </w:rPr>
        <w:t xml:space="preserve"> in</w:t>
      </w:r>
      <w:r w:rsidRPr="00181E8E">
        <w:rPr>
          <w:rFonts w:cstheme="minorHAnsi"/>
          <w:sz w:val="18"/>
          <w:szCs w:val="18"/>
        </w:rPr>
        <w:t> </w:t>
      </w:r>
      <w:r w:rsidRPr="00181E8E">
        <w:rPr>
          <w:rFonts w:cstheme="minorHAnsi"/>
          <w:i/>
          <w:iCs/>
          <w:sz w:val="18"/>
          <w:szCs w:val="18"/>
        </w:rPr>
        <w:t>Comprendre et pratiquer le droit de la lutte contre les discriminations</w:t>
      </w:r>
      <w:r w:rsidRPr="00181E8E">
        <w:rPr>
          <w:rFonts w:cstheme="minorHAnsi"/>
          <w:sz w:val="18"/>
          <w:szCs w:val="18"/>
        </w:rPr>
        <w:t>, Anthémis 2018, Volume 184, p 96.</w:t>
      </w:r>
    </w:p>
  </w:footnote>
  <w:footnote w:id="8">
    <w:p w14:paraId="170B09F3" w14:textId="77777777" w:rsidR="00A41FC4" w:rsidRPr="007D0576" w:rsidRDefault="00A41FC4" w:rsidP="00FC4E4B">
      <w:pPr>
        <w:pStyle w:val="Notedebasdepage"/>
        <w:jc w:val="both"/>
      </w:pPr>
      <w:r w:rsidRPr="00181E8E">
        <w:rPr>
          <w:rStyle w:val="Appelnotedebasdep"/>
          <w:rFonts w:cstheme="minorHAnsi"/>
          <w:sz w:val="18"/>
          <w:szCs w:val="18"/>
        </w:rPr>
        <w:footnoteRef/>
      </w:r>
      <w:r w:rsidRPr="00181E8E">
        <w:rPr>
          <w:rFonts w:cstheme="minorHAnsi"/>
          <w:sz w:val="18"/>
          <w:szCs w:val="18"/>
        </w:rPr>
        <w:t xml:space="preserve"> CJUE, 11 avril 2013, HK Danmark, aff. Jtes C-335/11 et C-337/11.</w:t>
      </w:r>
    </w:p>
  </w:footnote>
  <w:footnote w:id="9">
    <w:p w14:paraId="19B6B20B" w14:textId="398B414A" w:rsidR="006C6C9A" w:rsidRPr="00222160" w:rsidRDefault="006C6C9A">
      <w:pPr>
        <w:pStyle w:val="Notedebasdepage"/>
        <w:rPr>
          <w:sz w:val="18"/>
          <w:szCs w:val="18"/>
        </w:rPr>
      </w:pPr>
      <w:r>
        <w:rPr>
          <w:rStyle w:val="Appelnotedebasdep"/>
        </w:rPr>
        <w:footnoteRef/>
      </w:r>
      <w:r>
        <w:t xml:space="preserve"> </w:t>
      </w:r>
      <w:r w:rsidRPr="00222160">
        <w:rPr>
          <w:sz w:val="18"/>
          <w:szCs w:val="18"/>
        </w:rPr>
        <w:t>C. trav. Liège, div. Neufchâteau,</w:t>
      </w:r>
      <w:r w:rsidR="00EC02C2" w:rsidRPr="00222160">
        <w:rPr>
          <w:sz w:val="18"/>
          <w:szCs w:val="18"/>
        </w:rPr>
        <w:t xml:space="preserve"> </w:t>
      </w:r>
      <w:r w:rsidR="00024650" w:rsidRPr="00222160">
        <w:rPr>
          <w:sz w:val="18"/>
          <w:szCs w:val="18"/>
        </w:rPr>
        <w:t xml:space="preserve">26 avril 2023, 2022/AU/25, disponible sur terralaboris.be </w:t>
      </w:r>
    </w:p>
  </w:footnote>
  <w:footnote w:id="10">
    <w:p w14:paraId="5F646D25" w14:textId="1A16E2B9" w:rsidR="00DA2057" w:rsidRPr="00DA2057" w:rsidRDefault="00DA2057">
      <w:pPr>
        <w:pStyle w:val="Notedebasdepage"/>
      </w:pPr>
      <w:r>
        <w:rPr>
          <w:rStyle w:val="Appelnotedebasdep"/>
        </w:rPr>
        <w:footnoteRef/>
      </w:r>
      <w:r>
        <w:t xml:space="preserve"> </w:t>
      </w:r>
      <w:r w:rsidRPr="00222160">
        <w:rPr>
          <w:sz w:val="18"/>
          <w:szCs w:val="18"/>
        </w:rPr>
        <w:t>Idem</w:t>
      </w:r>
    </w:p>
  </w:footnote>
  <w:footnote w:id="11">
    <w:p w14:paraId="65EF5BD0" w14:textId="31AB5F1F" w:rsidR="004B09F4" w:rsidRPr="00C25AD1" w:rsidRDefault="004B09F4">
      <w:pPr>
        <w:pStyle w:val="Notedebasdepage"/>
        <w:rPr>
          <w:sz w:val="18"/>
          <w:szCs w:val="18"/>
        </w:rPr>
      </w:pPr>
      <w:r>
        <w:rPr>
          <w:rStyle w:val="Appelnotedebasdep"/>
        </w:rPr>
        <w:footnoteRef/>
      </w:r>
      <w:r>
        <w:t xml:space="preserve"> </w:t>
      </w:r>
      <w:r w:rsidR="009338B5" w:rsidRPr="00C25AD1">
        <w:rPr>
          <w:sz w:val="18"/>
          <w:szCs w:val="18"/>
        </w:rPr>
        <w:t>C.C., arrêt n°64/2009 du 2 avril 2009</w:t>
      </w:r>
    </w:p>
  </w:footnote>
  <w:footnote w:id="12">
    <w:p w14:paraId="0D7746E4" w14:textId="419E3569" w:rsidR="00911DF6" w:rsidRPr="00911DF6" w:rsidRDefault="00911DF6">
      <w:pPr>
        <w:pStyle w:val="Notedebasdepage"/>
      </w:pPr>
      <w:r w:rsidRPr="00C25AD1">
        <w:rPr>
          <w:rStyle w:val="Appelnotedebasdep"/>
          <w:sz w:val="18"/>
          <w:szCs w:val="18"/>
        </w:rPr>
        <w:footnoteRef/>
      </w:r>
      <w:r w:rsidRPr="00C25AD1">
        <w:rPr>
          <w:sz w:val="18"/>
          <w:szCs w:val="18"/>
        </w:rPr>
        <w:t xml:space="preserve"> C.C., arrêt n°35/</w:t>
      </w:r>
      <w:r w:rsidR="00E424F9" w:rsidRPr="00C25AD1">
        <w:rPr>
          <w:sz w:val="18"/>
          <w:szCs w:val="18"/>
        </w:rPr>
        <w:t>2010 du 22 avril 2010, B.6.2.</w:t>
      </w:r>
      <w:r w:rsidR="00E424F9">
        <w:t xml:space="preserve"> </w:t>
      </w:r>
    </w:p>
  </w:footnote>
  <w:footnote w:id="13">
    <w:p w14:paraId="3EC9D888" w14:textId="16F5CF71" w:rsidR="00D76B61" w:rsidRPr="00AB0C4F" w:rsidRDefault="00D76B61" w:rsidP="00D76B61">
      <w:pPr>
        <w:pStyle w:val="Liste"/>
        <w:ind w:left="0" w:firstLine="0"/>
        <w:jc w:val="both"/>
        <w:rPr>
          <w:color w:val="002060"/>
          <w:sz w:val="18"/>
          <w:szCs w:val="18"/>
        </w:rPr>
      </w:pPr>
      <w:r>
        <w:rPr>
          <w:rStyle w:val="Appelnotedebasdep"/>
        </w:rPr>
        <w:footnoteRef/>
      </w:r>
      <w:r>
        <w:t xml:space="preserve"> </w:t>
      </w:r>
      <w:hyperlink r:id="rId3" w:tgtFrame="_blank" w:history="1">
        <w:r w:rsidRPr="00AB0C4F">
          <w:rPr>
            <w:rStyle w:val="Lienhypertexte"/>
            <w:rFonts w:cs="Arial"/>
            <w:color w:val="auto"/>
            <w:sz w:val="18"/>
            <w:szCs w:val="18"/>
            <w:u w:val="none"/>
          </w:rPr>
          <w:t>C.J.U.E., 14 septembre 2023, AFF. N° C-113/22 (DX c/INSS ET TGSS), EU:C:2023:665</w:t>
        </w:r>
      </w:hyperlink>
      <w:r w:rsidRPr="00AB0C4F">
        <w:rPr>
          <w:rStyle w:val="Lienhypertexte"/>
          <w:rFonts w:cs="Arial"/>
          <w:color w:val="auto"/>
          <w:sz w:val="18"/>
          <w:szCs w:val="18"/>
          <w:u w:val="none"/>
        </w:rPr>
        <w:t xml:space="preserve">, commentaire </w:t>
      </w:r>
      <w:r w:rsidRPr="00AB0C4F">
        <w:rPr>
          <w:rFonts w:cs="Arial"/>
          <w:sz w:val="18"/>
          <w:szCs w:val="18"/>
          <w:shd w:val="clear" w:color="auto" w:fill="FFFFFF"/>
        </w:rPr>
        <w:t>Terralaboris (publié sur social eye le 20/9/23).</w:t>
      </w:r>
    </w:p>
    <w:p w14:paraId="6084A8AE" w14:textId="77777777" w:rsidR="00D76B61" w:rsidRPr="00AB0C4F" w:rsidRDefault="00D76B61" w:rsidP="00D76B61">
      <w:pPr>
        <w:pStyle w:val="Notedebasdepage"/>
        <w:rPr>
          <w:sz w:val="18"/>
          <w:szCs w:val="18"/>
        </w:rPr>
      </w:pPr>
    </w:p>
  </w:footnote>
  <w:footnote w:id="14">
    <w:p w14:paraId="5494F702" w14:textId="73A289E0" w:rsidR="001A0E08" w:rsidRPr="00AB0C4F" w:rsidRDefault="001A0E08">
      <w:pPr>
        <w:pStyle w:val="Notedebasdepage"/>
        <w:rPr>
          <w:sz w:val="18"/>
          <w:szCs w:val="18"/>
          <w:lang w:val="fr-BE"/>
        </w:rPr>
      </w:pPr>
      <w:r w:rsidRPr="00AB0C4F">
        <w:rPr>
          <w:rStyle w:val="Appelnotedebasdep"/>
          <w:sz w:val="18"/>
          <w:szCs w:val="18"/>
        </w:rPr>
        <w:footnoteRef/>
      </w:r>
      <w:r w:rsidRPr="00AB0C4F">
        <w:rPr>
          <w:sz w:val="18"/>
          <w:szCs w:val="18"/>
        </w:rPr>
        <w:t xml:space="preserve"> </w:t>
      </w:r>
      <w:r w:rsidR="001474A5" w:rsidRPr="00AB0C4F">
        <w:rPr>
          <w:sz w:val="18"/>
          <w:szCs w:val="18"/>
          <w:lang w:val="fr-BE"/>
        </w:rPr>
        <w:t>Protocole entre l’Etat fédéral, la Communauté flamande, la Communauté fra</w:t>
      </w:r>
      <w:r w:rsidR="00E424F9" w:rsidRPr="00AB0C4F">
        <w:rPr>
          <w:sz w:val="18"/>
          <w:szCs w:val="18"/>
          <w:lang w:val="fr-BE"/>
        </w:rPr>
        <w:t>nç</w:t>
      </w:r>
      <w:r w:rsidR="001474A5" w:rsidRPr="00AB0C4F">
        <w:rPr>
          <w:sz w:val="18"/>
          <w:szCs w:val="18"/>
          <w:lang w:val="fr-BE"/>
        </w:rPr>
        <w:t xml:space="preserve">aise, la Communauté germanophone, la Région wallonne, la Région de Bruxelles-Capitale, la Commission communautaire commune, la Commission communautaire franc¸aise en faveur des personnes en situation de handicap, relatif au concept d’aménagements raisonnables en Belgique en vertu de la loi du 25 février 2003 tendant à lutter contre la discrimination et modifiant la loi du 15 février 1993 créant un Centre pour l’égalité des chances et de lutte contre le racisme, 19 juillet 2007, </w:t>
      </w:r>
      <w:r w:rsidR="00CF07AE" w:rsidRPr="00AB0C4F">
        <w:rPr>
          <w:i/>
          <w:iCs/>
          <w:sz w:val="18"/>
          <w:szCs w:val="18"/>
          <w:lang w:val="fr-BE"/>
        </w:rPr>
        <w:t>M.B.,</w:t>
      </w:r>
      <w:r w:rsidR="00CF07AE" w:rsidRPr="00AB0C4F">
        <w:rPr>
          <w:sz w:val="18"/>
          <w:szCs w:val="18"/>
          <w:lang w:val="fr-BE"/>
        </w:rPr>
        <w:t xml:space="preserve"> 20 septembre 2007, p. 49653</w:t>
      </w:r>
    </w:p>
  </w:footnote>
  <w:footnote w:id="15">
    <w:p w14:paraId="1A8F4EA5" w14:textId="76978E45" w:rsidR="008457F7" w:rsidRPr="008457F7" w:rsidRDefault="008457F7">
      <w:pPr>
        <w:pStyle w:val="Notedebasdepage"/>
        <w:rPr>
          <w:lang w:val="fr-BE"/>
        </w:rPr>
      </w:pPr>
      <w:r>
        <w:rPr>
          <w:rStyle w:val="Appelnotedebasdep"/>
        </w:rPr>
        <w:footnoteRef/>
      </w:r>
      <w:r>
        <w:t xml:space="preserve"> </w:t>
      </w:r>
      <w:r w:rsidRPr="00171727">
        <w:rPr>
          <w:sz w:val="18"/>
          <w:szCs w:val="18"/>
          <w:lang w:val="fr-BE"/>
        </w:rPr>
        <w:t>Page 23</w:t>
      </w:r>
      <w:r w:rsidR="007901A0" w:rsidRPr="00171727">
        <w:rPr>
          <w:sz w:val="18"/>
          <w:szCs w:val="18"/>
          <w:lang w:val="fr-BE"/>
        </w:rPr>
        <w:t>-24</w:t>
      </w:r>
      <w:r w:rsidRPr="00171727">
        <w:rPr>
          <w:sz w:val="18"/>
          <w:szCs w:val="18"/>
          <w:lang w:val="fr-BE"/>
        </w:rPr>
        <w:t xml:space="preserve"> des conclusions </w:t>
      </w:r>
      <w:r w:rsidR="00EC1176" w:rsidRPr="00171727">
        <w:rPr>
          <w:sz w:val="18"/>
          <w:szCs w:val="18"/>
          <w:lang w:val="fr-BE"/>
        </w:rPr>
        <w:t xml:space="preserve">de </w:t>
      </w:r>
      <w:r w:rsidR="007901A0" w:rsidRPr="00171727">
        <w:rPr>
          <w:sz w:val="18"/>
          <w:szCs w:val="18"/>
          <w:lang w:val="fr-BE"/>
        </w:rPr>
        <w:t xml:space="preserve">synthèse de </w:t>
      </w:r>
      <w:r w:rsidR="00EC1176" w:rsidRPr="00171727">
        <w:rPr>
          <w:sz w:val="18"/>
          <w:szCs w:val="18"/>
          <w:lang w:val="fr-BE"/>
        </w:rPr>
        <w:t>l’OTW</w:t>
      </w:r>
    </w:p>
  </w:footnote>
  <w:footnote w:id="16">
    <w:p w14:paraId="2352D6EE" w14:textId="3C7C5151" w:rsidR="0014628B" w:rsidRPr="00171727" w:rsidRDefault="0014628B">
      <w:pPr>
        <w:pStyle w:val="Notedebasdepage"/>
        <w:rPr>
          <w:sz w:val="18"/>
          <w:szCs w:val="18"/>
          <w:lang w:val="fr-BE"/>
        </w:rPr>
      </w:pPr>
      <w:r>
        <w:rPr>
          <w:rStyle w:val="Appelnotedebasdep"/>
        </w:rPr>
        <w:footnoteRef/>
      </w:r>
      <w:r>
        <w:t xml:space="preserve"> </w:t>
      </w:r>
      <w:r w:rsidRPr="00171727">
        <w:rPr>
          <w:sz w:val="18"/>
          <w:szCs w:val="18"/>
          <w:lang w:val="fr-BE"/>
        </w:rPr>
        <w:t>Page 24 des conclusions de synthèse de l’OTW</w:t>
      </w:r>
    </w:p>
  </w:footnote>
  <w:footnote w:id="17">
    <w:p w14:paraId="1E0EA751" w14:textId="2738F6BB" w:rsidR="00042AAE" w:rsidRPr="00042AAE" w:rsidRDefault="00042AAE">
      <w:pPr>
        <w:pStyle w:val="Notedebasdepage"/>
      </w:pPr>
      <w:r w:rsidRPr="00171727">
        <w:rPr>
          <w:rStyle w:val="Appelnotedebasdep"/>
          <w:sz w:val="18"/>
          <w:szCs w:val="18"/>
        </w:rPr>
        <w:footnoteRef/>
      </w:r>
      <w:r w:rsidRPr="00171727">
        <w:rPr>
          <w:sz w:val="18"/>
          <w:szCs w:val="18"/>
        </w:rPr>
        <w:t xml:space="preserve"> Pièce 24 du dossier de l’OTW</w:t>
      </w:r>
    </w:p>
  </w:footnote>
  <w:footnote w:id="18">
    <w:p w14:paraId="756AE016" w14:textId="77777777" w:rsidR="00646143" w:rsidRPr="006007CD" w:rsidRDefault="00646143" w:rsidP="00646143">
      <w:pPr>
        <w:pStyle w:val="Notedebasdepage"/>
      </w:pPr>
      <w:r>
        <w:rPr>
          <w:rStyle w:val="Appelnotedebasdep"/>
        </w:rPr>
        <w:footnoteRef/>
      </w:r>
      <w:r>
        <w:t xml:space="preserve"> </w:t>
      </w:r>
      <w:r w:rsidRPr="00171727">
        <w:rPr>
          <w:rStyle w:val="Lienhypertexte"/>
          <w:rFonts w:cs="Calibri"/>
          <w:bCs/>
          <w:color w:val="auto"/>
          <w:sz w:val="18"/>
          <w:szCs w:val="18"/>
          <w:u w:val="none"/>
        </w:rPr>
        <w:t>Cass., 14/12/2015, n° S.12.0119.N et S.12.0154.N (NL), www.juridat.be.</w:t>
      </w:r>
    </w:p>
  </w:footnote>
  <w:footnote w:id="19">
    <w:p w14:paraId="7F007C73" w14:textId="5BA74002" w:rsidR="004C15CC" w:rsidRPr="00171727" w:rsidRDefault="004C15CC" w:rsidP="004C15CC">
      <w:pPr>
        <w:pStyle w:val="Notedebasdepage"/>
        <w:rPr>
          <w:sz w:val="18"/>
          <w:szCs w:val="18"/>
          <w:lang w:val="fr-BE"/>
        </w:rPr>
      </w:pPr>
      <w:r>
        <w:rPr>
          <w:rStyle w:val="Appelnotedebasdep"/>
        </w:rPr>
        <w:footnoteRef/>
      </w:r>
      <w:r>
        <w:t xml:space="preserve"> </w:t>
      </w:r>
      <w:r w:rsidRPr="00171727">
        <w:rPr>
          <w:sz w:val="18"/>
          <w:szCs w:val="18"/>
          <w:lang w:val="fr-BE"/>
        </w:rPr>
        <w:t xml:space="preserve">J-P CORDIER et P. BRASSEUR, </w:t>
      </w:r>
      <w:r w:rsidRPr="00171727">
        <w:rPr>
          <w:i/>
          <w:iCs/>
          <w:sz w:val="18"/>
          <w:szCs w:val="18"/>
          <w:lang w:val="fr-BE"/>
        </w:rPr>
        <w:t>Le bien-être psychosocial au travail : harcèlement moral, harcèlement sexuel, violence, stress, conflit...,</w:t>
      </w:r>
      <w:r w:rsidRPr="00171727">
        <w:rPr>
          <w:sz w:val="18"/>
          <w:szCs w:val="18"/>
          <w:lang w:val="fr-BE"/>
        </w:rPr>
        <w:t xml:space="preserve"> Waterloo, Kluwer, 2009, p. 117</w:t>
      </w:r>
    </w:p>
  </w:footnote>
  <w:footnote w:id="20">
    <w:p w14:paraId="3CD57978" w14:textId="17CC2174" w:rsidR="00802299" w:rsidRPr="00171727" w:rsidRDefault="00802299">
      <w:pPr>
        <w:pStyle w:val="Notedebasdepage"/>
        <w:rPr>
          <w:sz w:val="18"/>
          <w:szCs w:val="18"/>
          <w:lang w:val="fr-BE"/>
        </w:rPr>
      </w:pPr>
      <w:r w:rsidRPr="00171727">
        <w:rPr>
          <w:rStyle w:val="Appelnotedebasdep"/>
          <w:sz w:val="18"/>
          <w:szCs w:val="18"/>
        </w:rPr>
        <w:footnoteRef/>
      </w:r>
      <w:r w:rsidRPr="00171727">
        <w:rPr>
          <w:sz w:val="18"/>
          <w:szCs w:val="18"/>
        </w:rPr>
        <w:t xml:space="preserve"> </w:t>
      </w:r>
      <w:r w:rsidR="00863092" w:rsidRPr="00171727">
        <w:rPr>
          <w:sz w:val="18"/>
          <w:szCs w:val="18"/>
        </w:rPr>
        <w:t>Cour Trav. Brux. (2e ch.), 16 octobre 2003, Chron. dr. soc., 2005, p. 439</w:t>
      </w:r>
    </w:p>
  </w:footnote>
  <w:footnote w:id="21">
    <w:p w14:paraId="7D2A0F22" w14:textId="6E1AA2BC" w:rsidR="008A3A63" w:rsidRPr="008A3A63" w:rsidRDefault="008A3A63">
      <w:pPr>
        <w:pStyle w:val="Notedebasdepage"/>
        <w:rPr>
          <w:lang w:val="fr-BE"/>
        </w:rPr>
      </w:pPr>
      <w:r>
        <w:rPr>
          <w:rStyle w:val="Appelnotedebasdep"/>
        </w:rPr>
        <w:footnoteRef/>
      </w:r>
      <w:r>
        <w:t xml:space="preserve"> </w:t>
      </w:r>
      <w:r w:rsidRPr="00171727">
        <w:rPr>
          <w:sz w:val="18"/>
          <w:szCs w:val="18"/>
          <w:lang w:val="fr-BE"/>
        </w:rPr>
        <w:t>P</w:t>
      </w:r>
      <w:r w:rsidR="00B746D2" w:rsidRPr="00171727">
        <w:rPr>
          <w:sz w:val="18"/>
          <w:szCs w:val="18"/>
          <w:lang w:val="fr-BE"/>
        </w:rPr>
        <w:t>ièce 23 du dossier de l’OTW</w:t>
      </w:r>
    </w:p>
  </w:footnote>
  <w:footnote w:id="22">
    <w:p w14:paraId="41D4F3B5" w14:textId="323929C3" w:rsidR="00DE18C7" w:rsidRDefault="00DE18C7">
      <w:pPr>
        <w:pStyle w:val="Notedebasdepage"/>
        <w:rPr>
          <w:sz w:val="18"/>
          <w:szCs w:val="18"/>
        </w:rPr>
      </w:pPr>
      <w:r w:rsidRPr="00171727">
        <w:rPr>
          <w:rStyle w:val="Appelnotedebasdep"/>
          <w:sz w:val="18"/>
          <w:szCs w:val="18"/>
        </w:rPr>
        <w:footnoteRef/>
      </w:r>
      <w:r w:rsidRPr="00171727">
        <w:rPr>
          <w:sz w:val="18"/>
          <w:szCs w:val="18"/>
        </w:rPr>
        <w:t xml:space="preserve"> Arrêté royal du 26 octobre 2007 fixant le tarif des indemnités de procédure visées à l'article 1022 du Code judiciaire et fixant la date d'entrée en vigueur des articles 1er à 13 de la loi du 21 avril 2007 relative à la répétibilité des honoraires et des frais d'avocat</w:t>
      </w:r>
      <w:r w:rsidR="005A3063">
        <w:rPr>
          <w:sz w:val="18"/>
          <w:szCs w:val="18"/>
        </w:rPr>
        <w:t>.</w:t>
      </w:r>
    </w:p>
    <w:p w14:paraId="352A48D7" w14:textId="77777777" w:rsidR="005A3063" w:rsidRPr="00171727" w:rsidRDefault="005A3063">
      <w:pPr>
        <w:pStyle w:val="Notedebasdepage"/>
        <w:rPr>
          <w:sz w:val="18"/>
          <w:szCs w:val="18"/>
          <w:lang w:val="fr-BE"/>
        </w:rPr>
      </w:pPr>
    </w:p>
  </w:footnote>
  <w:footnote w:id="23">
    <w:p w14:paraId="1EF2722F" w14:textId="099C03BD" w:rsidR="00EC05E2" w:rsidRPr="00171727" w:rsidRDefault="00EC05E2">
      <w:pPr>
        <w:pStyle w:val="Notedebasdepage"/>
        <w:rPr>
          <w:sz w:val="18"/>
          <w:szCs w:val="18"/>
          <w:lang w:val="fr-BE"/>
        </w:rPr>
      </w:pPr>
      <w:r w:rsidRPr="00171727">
        <w:rPr>
          <w:rStyle w:val="Appelnotedebasdep"/>
          <w:sz w:val="18"/>
          <w:szCs w:val="18"/>
        </w:rPr>
        <w:footnoteRef/>
      </w:r>
      <w:r w:rsidRPr="00171727">
        <w:rPr>
          <w:sz w:val="18"/>
          <w:szCs w:val="18"/>
        </w:rPr>
        <w:t xml:space="preserve"> </w:t>
      </w:r>
      <w:r w:rsidRPr="00171727">
        <w:rPr>
          <w:sz w:val="18"/>
          <w:szCs w:val="18"/>
          <w:lang w:val="fr-BE"/>
        </w:rPr>
        <w:t xml:space="preserve">H. BOULARBAH, </w:t>
      </w:r>
      <w:r w:rsidR="00CA2193" w:rsidRPr="00171727">
        <w:rPr>
          <w:sz w:val="18"/>
          <w:szCs w:val="18"/>
          <w:lang w:val="fr-BE"/>
        </w:rPr>
        <w:t xml:space="preserve">« Les frais et les dépens, et spécialement l’indemnité de procédure » </w:t>
      </w:r>
      <w:r w:rsidR="0081491B" w:rsidRPr="00171727">
        <w:rPr>
          <w:i/>
          <w:iCs/>
          <w:sz w:val="18"/>
          <w:szCs w:val="18"/>
          <w:lang w:val="fr-BE"/>
        </w:rPr>
        <w:t>in Actualités en droit judiciaire,</w:t>
      </w:r>
      <w:r w:rsidR="0081491B" w:rsidRPr="00171727">
        <w:rPr>
          <w:sz w:val="18"/>
          <w:szCs w:val="18"/>
          <w:lang w:val="fr-BE"/>
        </w:rPr>
        <w:t xml:space="preserve"> CUP, Col 145, Larcier, n° 80, p. 365-366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AD3"/>
    <w:multiLevelType w:val="hybridMultilevel"/>
    <w:tmpl w:val="37F8AF12"/>
    <w:lvl w:ilvl="0" w:tplc="F16C85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B24280"/>
    <w:multiLevelType w:val="hybridMultilevel"/>
    <w:tmpl w:val="CF50D17E"/>
    <w:lvl w:ilvl="0" w:tplc="F16C85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2F77968"/>
    <w:multiLevelType w:val="hybridMultilevel"/>
    <w:tmpl w:val="D71AA378"/>
    <w:lvl w:ilvl="0" w:tplc="8C78507A">
      <w:start w:val="4"/>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6978"/>
    <w:multiLevelType w:val="hybridMultilevel"/>
    <w:tmpl w:val="11289E76"/>
    <w:lvl w:ilvl="0" w:tplc="CFF0C07C">
      <w:numFmt w:val="bullet"/>
      <w:lvlText w:val="-"/>
      <w:lvlJc w:val="left"/>
      <w:pPr>
        <w:ind w:left="720" w:hanging="360"/>
      </w:pPr>
      <w:rPr>
        <w:rFonts w:ascii="Palatino Linotype" w:eastAsiaTheme="minorHAnsi" w:hAnsi="Palatino Linotype"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7D689F"/>
    <w:multiLevelType w:val="hybridMultilevel"/>
    <w:tmpl w:val="BD7E2EE4"/>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2503837"/>
    <w:multiLevelType w:val="hybridMultilevel"/>
    <w:tmpl w:val="AF6C68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A049F"/>
    <w:multiLevelType w:val="hybridMultilevel"/>
    <w:tmpl w:val="E160E5FE"/>
    <w:lvl w:ilvl="0" w:tplc="6ED679D2">
      <w:start w:val="27"/>
      <w:numFmt w:val="bullet"/>
      <w:lvlText w:val=""/>
      <w:lvlJc w:val="left"/>
      <w:pPr>
        <w:ind w:left="1353" w:hanging="360"/>
      </w:pPr>
      <w:rPr>
        <w:rFonts w:ascii="Symbol" w:eastAsia="Times" w:hAnsi="Symbol" w:cs="Aria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15:restartNumberingAfterBreak="0">
    <w:nsid w:val="17D041DD"/>
    <w:multiLevelType w:val="hybridMultilevel"/>
    <w:tmpl w:val="FEAEEB6A"/>
    <w:lvl w:ilvl="0" w:tplc="16B0A0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540C90"/>
    <w:multiLevelType w:val="hybridMultilevel"/>
    <w:tmpl w:val="E7AA05D0"/>
    <w:lvl w:ilvl="0" w:tplc="DD5CA63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E784D"/>
    <w:multiLevelType w:val="hybridMultilevel"/>
    <w:tmpl w:val="2900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201D3"/>
    <w:multiLevelType w:val="hybridMultilevel"/>
    <w:tmpl w:val="65B8A920"/>
    <w:lvl w:ilvl="0" w:tplc="F16C855A">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E5B1151"/>
    <w:multiLevelType w:val="hybridMultilevel"/>
    <w:tmpl w:val="C57A51BE"/>
    <w:lvl w:ilvl="0" w:tplc="502E7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181987"/>
    <w:multiLevelType w:val="singleLevel"/>
    <w:tmpl w:val="F334CC74"/>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77B2FE1"/>
    <w:multiLevelType w:val="hybridMultilevel"/>
    <w:tmpl w:val="243A47EA"/>
    <w:lvl w:ilvl="0" w:tplc="16B0A0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E01DD"/>
    <w:multiLevelType w:val="hybridMultilevel"/>
    <w:tmpl w:val="6AB6604C"/>
    <w:lvl w:ilvl="0" w:tplc="174C45AC">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9B18A7"/>
    <w:multiLevelType w:val="hybridMultilevel"/>
    <w:tmpl w:val="294A61CC"/>
    <w:lvl w:ilvl="0" w:tplc="16B0A0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B678C3"/>
    <w:multiLevelType w:val="hybridMultilevel"/>
    <w:tmpl w:val="7C16EC7C"/>
    <w:lvl w:ilvl="0" w:tplc="82FED2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2F6B1C"/>
    <w:multiLevelType w:val="hybridMultilevel"/>
    <w:tmpl w:val="E0BAC218"/>
    <w:lvl w:ilvl="0" w:tplc="BD5048CA">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B5D6E39"/>
    <w:multiLevelType w:val="hybridMultilevel"/>
    <w:tmpl w:val="2EFE44DE"/>
    <w:lvl w:ilvl="0" w:tplc="4498FCF2">
      <w:start w:val="1"/>
      <w:numFmt w:val="decimalZero"/>
      <w:lvlText w:val="%1."/>
      <w:lvlJc w:val="left"/>
      <w:pPr>
        <w:ind w:left="360" w:hanging="360"/>
      </w:pPr>
      <w:rPr>
        <w:rFonts w:hint="default"/>
        <w:b/>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4CE81CB3"/>
    <w:multiLevelType w:val="hybridMultilevel"/>
    <w:tmpl w:val="D3CC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417806"/>
    <w:multiLevelType w:val="hybridMultilevel"/>
    <w:tmpl w:val="7FFA40B2"/>
    <w:lvl w:ilvl="0" w:tplc="16B0A04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41EF2"/>
    <w:multiLevelType w:val="hybridMultilevel"/>
    <w:tmpl w:val="5F522E0C"/>
    <w:lvl w:ilvl="0" w:tplc="5308BFB0">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2" w15:restartNumberingAfterBreak="0">
    <w:nsid w:val="53BF1439"/>
    <w:multiLevelType w:val="hybridMultilevel"/>
    <w:tmpl w:val="B4F6F9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4A6039"/>
    <w:multiLevelType w:val="hybridMultilevel"/>
    <w:tmpl w:val="244AB83E"/>
    <w:lvl w:ilvl="0" w:tplc="16B0A046">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5212AC9"/>
    <w:multiLevelType w:val="hybridMultilevel"/>
    <w:tmpl w:val="6044AAC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5D509D5"/>
    <w:multiLevelType w:val="hybridMultilevel"/>
    <w:tmpl w:val="452AC55C"/>
    <w:lvl w:ilvl="0" w:tplc="9D36A63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C03A23"/>
    <w:multiLevelType w:val="hybridMultilevel"/>
    <w:tmpl w:val="34421192"/>
    <w:lvl w:ilvl="0" w:tplc="F16C855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E053D05"/>
    <w:multiLevelType w:val="hybridMultilevel"/>
    <w:tmpl w:val="CCA2E40C"/>
    <w:lvl w:ilvl="0" w:tplc="2640D354">
      <w:start w:val="1"/>
      <w:numFmt w:val="upp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334F30"/>
    <w:multiLevelType w:val="hybridMultilevel"/>
    <w:tmpl w:val="E1F86E16"/>
    <w:lvl w:ilvl="0" w:tplc="7102D28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452D4"/>
    <w:multiLevelType w:val="hybridMultilevel"/>
    <w:tmpl w:val="BD7E2EE4"/>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E6D19F9"/>
    <w:multiLevelType w:val="hybridMultilevel"/>
    <w:tmpl w:val="29D64422"/>
    <w:lvl w:ilvl="0" w:tplc="391C537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6548771">
    <w:abstractNumId w:val="30"/>
  </w:num>
  <w:num w:numId="2" w16cid:durableId="305859044">
    <w:abstractNumId w:val="8"/>
  </w:num>
  <w:num w:numId="3" w16cid:durableId="1635215770">
    <w:abstractNumId w:val="28"/>
  </w:num>
  <w:num w:numId="4" w16cid:durableId="438767653">
    <w:abstractNumId w:val="1"/>
  </w:num>
  <w:num w:numId="5" w16cid:durableId="1734354440">
    <w:abstractNumId w:val="21"/>
  </w:num>
  <w:num w:numId="6" w16cid:durableId="1272979915">
    <w:abstractNumId w:val="0"/>
  </w:num>
  <w:num w:numId="7" w16cid:durableId="743064120">
    <w:abstractNumId w:val="26"/>
  </w:num>
  <w:num w:numId="8" w16cid:durableId="1566918639">
    <w:abstractNumId w:val="17"/>
  </w:num>
  <w:num w:numId="9" w16cid:durableId="1738940196">
    <w:abstractNumId w:val="14"/>
  </w:num>
  <w:num w:numId="10" w16cid:durableId="1154026421">
    <w:abstractNumId w:val="18"/>
  </w:num>
  <w:num w:numId="11" w16cid:durableId="1109202137">
    <w:abstractNumId w:val="12"/>
  </w:num>
  <w:num w:numId="12" w16cid:durableId="160826022">
    <w:abstractNumId w:val="6"/>
  </w:num>
  <w:num w:numId="13" w16cid:durableId="1140927190">
    <w:abstractNumId w:val="10"/>
  </w:num>
  <w:num w:numId="14" w16cid:durableId="950283020">
    <w:abstractNumId w:val="4"/>
  </w:num>
  <w:num w:numId="15" w16cid:durableId="1932351974">
    <w:abstractNumId w:val="29"/>
  </w:num>
  <w:num w:numId="16" w16cid:durableId="1211117386">
    <w:abstractNumId w:val="3"/>
  </w:num>
  <w:num w:numId="17" w16cid:durableId="587084226">
    <w:abstractNumId w:val="23"/>
  </w:num>
  <w:num w:numId="18" w16cid:durableId="1817913430">
    <w:abstractNumId w:val="24"/>
  </w:num>
  <w:num w:numId="19" w16cid:durableId="1563373214">
    <w:abstractNumId w:val="27"/>
  </w:num>
  <w:num w:numId="20" w16cid:durableId="2118131792">
    <w:abstractNumId w:val="22"/>
  </w:num>
  <w:num w:numId="21" w16cid:durableId="195198656">
    <w:abstractNumId w:val="5"/>
  </w:num>
  <w:num w:numId="22" w16cid:durableId="452556659">
    <w:abstractNumId w:val="19"/>
  </w:num>
  <w:num w:numId="23" w16cid:durableId="1632050636">
    <w:abstractNumId w:val="25"/>
  </w:num>
  <w:num w:numId="24" w16cid:durableId="9068547">
    <w:abstractNumId w:val="11"/>
  </w:num>
  <w:num w:numId="25" w16cid:durableId="441653501">
    <w:abstractNumId w:val="20"/>
  </w:num>
  <w:num w:numId="26" w16cid:durableId="1032876737">
    <w:abstractNumId w:val="13"/>
  </w:num>
  <w:num w:numId="27" w16cid:durableId="191456453">
    <w:abstractNumId w:val="7"/>
  </w:num>
  <w:num w:numId="28" w16cid:durableId="1848210464">
    <w:abstractNumId w:val="15"/>
  </w:num>
  <w:num w:numId="29" w16cid:durableId="118569661">
    <w:abstractNumId w:val="9"/>
  </w:num>
  <w:num w:numId="30" w16cid:durableId="1218393623">
    <w:abstractNumId w:val="16"/>
  </w:num>
  <w:num w:numId="31" w16cid:durableId="1700008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86"/>
    <w:rsid w:val="000003A9"/>
    <w:rsid w:val="00001598"/>
    <w:rsid w:val="00001D2D"/>
    <w:rsid w:val="00004057"/>
    <w:rsid w:val="00004895"/>
    <w:rsid w:val="00005568"/>
    <w:rsid w:val="000059E4"/>
    <w:rsid w:val="0000667A"/>
    <w:rsid w:val="00007555"/>
    <w:rsid w:val="000076E3"/>
    <w:rsid w:val="000127BB"/>
    <w:rsid w:val="0001400F"/>
    <w:rsid w:val="00016A1E"/>
    <w:rsid w:val="00016C0E"/>
    <w:rsid w:val="00020CBF"/>
    <w:rsid w:val="000215BA"/>
    <w:rsid w:val="00024650"/>
    <w:rsid w:val="00025E12"/>
    <w:rsid w:val="0002643F"/>
    <w:rsid w:val="000331A3"/>
    <w:rsid w:val="00033780"/>
    <w:rsid w:val="00033C3E"/>
    <w:rsid w:val="00033CF1"/>
    <w:rsid w:val="0003460C"/>
    <w:rsid w:val="000403CC"/>
    <w:rsid w:val="00042AAE"/>
    <w:rsid w:val="00042C89"/>
    <w:rsid w:val="000443B7"/>
    <w:rsid w:val="00044C74"/>
    <w:rsid w:val="00045E62"/>
    <w:rsid w:val="000470CB"/>
    <w:rsid w:val="00052542"/>
    <w:rsid w:val="00052B98"/>
    <w:rsid w:val="00056CE6"/>
    <w:rsid w:val="00057831"/>
    <w:rsid w:val="00065735"/>
    <w:rsid w:val="00066BBD"/>
    <w:rsid w:val="00084004"/>
    <w:rsid w:val="000859D6"/>
    <w:rsid w:val="00086AB4"/>
    <w:rsid w:val="00087E49"/>
    <w:rsid w:val="0009181F"/>
    <w:rsid w:val="0009342B"/>
    <w:rsid w:val="000A1198"/>
    <w:rsid w:val="000A1418"/>
    <w:rsid w:val="000A17B9"/>
    <w:rsid w:val="000A3897"/>
    <w:rsid w:val="000B3DD2"/>
    <w:rsid w:val="000B6CA0"/>
    <w:rsid w:val="000C15AD"/>
    <w:rsid w:val="000C1B65"/>
    <w:rsid w:val="000C4F66"/>
    <w:rsid w:val="000D206A"/>
    <w:rsid w:val="000D25F0"/>
    <w:rsid w:val="000D2D45"/>
    <w:rsid w:val="000D5246"/>
    <w:rsid w:val="000D72EE"/>
    <w:rsid w:val="000E4249"/>
    <w:rsid w:val="000F0CE4"/>
    <w:rsid w:val="000F1795"/>
    <w:rsid w:val="000F4AD0"/>
    <w:rsid w:val="000F6D1F"/>
    <w:rsid w:val="000F7CDC"/>
    <w:rsid w:val="0010121C"/>
    <w:rsid w:val="001027AF"/>
    <w:rsid w:val="001027EA"/>
    <w:rsid w:val="00103F8B"/>
    <w:rsid w:val="00113770"/>
    <w:rsid w:val="00121ADB"/>
    <w:rsid w:val="0012239E"/>
    <w:rsid w:val="001237AA"/>
    <w:rsid w:val="00125823"/>
    <w:rsid w:val="0012665E"/>
    <w:rsid w:val="0013106F"/>
    <w:rsid w:val="00134340"/>
    <w:rsid w:val="0013601D"/>
    <w:rsid w:val="00136D96"/>
    <w:rsid w:val="00137B27"/>
    <w:rsid w:val="00140293"/>
    <w:rsid w:val="0014221E"/>
    <w:rsid w:val="00142D7A"/>
    <w:rsid w:val="0014336D"/>
    <w:rsid w:val="0014628B"/>
    <w:rsid w:val="00146E06"/>
    <w:rsid w:val="0014745A"/>
    <w:rsid w:val="001474A5"/>
    <w:rsid w:val="00147A64"/>
    <w:rsid w:val="00147C74"/>
    <w:rsid w:val="00150B98"/>
    <w:rsid w:val="001520BA"/>
    <w:rsid w:val="00152307"/>
    <w:rsid w:val="00163EA0"/>
    <w:rsid w:val="00165728"/>
    <w:rsid w:val="00167C43"/>
    <w:rsid w:val="001708DB"/>
    <w:rsid w:val="00171727"/>
    <w:rsid w:val="001719F5"/>
    <w:rsid w:val="0017521F"/>
    <w:rsid w:val="001809ED"/>
    <w:rsid w:val="00181E8E"/>
    <w:rsid w:val="001854D1"/>
    <w:rsid w:val="0018623B"/>
    <w:rsid w:val="001863BE"/>
    <w:rsid w:val="001864EA"/>
    <w:rsid w:val="001974A4"/>
    <w:rsid w:val="001A04A2"/>
    <w:rsid w:val="001A060F"/>
    <w:rsid w:val="001A0E08"/>
    <w:rsid w:val="001A10B4"/>
    <w:rsid w:val="001A1186"/>
    <w:rsid w:val="001A2635"/>
    <w:rsid w:val="001A4516"/>
    <w:rsid w:val="001A59FA"/>
    <w:rsid w:val="001B04EB"/>
    <w:rsid w:val="001B717A"/>
    <w:rsid w:val="001B71CD"/>
    <w:rsid w:val="001C1199"/>
    <w:rsid w:val="001C3B42"/>
    <w:rsid w:val="001C488E"/>
    <w:rsid w:val="001C6941"/>
    <w:rsid w:val="001D1201"/>
    <w:rsid w:val="001D5C95"/>
    <w:rsid w:val="001D720C"/>
    <w:rsid w:val="001E0E84"/>
    <w:rsid w:val="001E152A"/>
    <w:rsid w:val="001E4A8B"/>
    <w:rsid w:val="001E6478"/>
    <w:rsid w:val="001F1358"/>
    <w:rsid w:val="001F5B64"/>
    <w:rsid w:val="001F6DE8"/>
    <w:rsid w:val="002009FB"/>
    <w:rsid w:val="0020527B"/>
    <w:rsid w:val="00205563"/>
    <w:rsid w:val="00205887"/>
    <w:rsid w:val="00205979"/>
    <w:rsid w:val="00206B63"/>
    <w:rsid w:val="00206C48"/>
    <w:rsid w:val="00215D93"/>
    <w:rsid w:val="00217DB0"/>
    <w:rsid w:val="00222160"/>
    <w:rsid w:val="00224DAD"/>
    <w:rsid w:val="00227DB7"/>
    <w:rsid w:val="00235261"/>
    <w:rsid w:val="00236370"/>
    <w:rsid w:val="0023637C"/>
    <w:rsid w:val="0024026E"/>
    <w:rsid w:val="002506DE"/>
    <w:rsid w:val="00251D80"/>
    <w:rsid w:val="002527C0"/>
    <w:rsid w:val="00256B46"/>
    <w:rsid w:val="00272062"/>
    <w:rsid w:val="00272999"/>
    <w:rsid w:val="00272F3A"/>
    <w:rsid w:val="00274D9E"/>
    <w:rsid w:val="002805A1"/>
    <w:rsid w:val="0028726C"/>
    <w:rsid w:val="00292373"/>
    <w:rsid w:val="00293C80"/>
    <w:rsid w:val="00296F1D"/>
    <w:rsid w:val="002A034B"/>
    <w:rsid w:val="002A3A2A"/>
    <w:rsid w:val="002A62E1"/>
    <w:rsid w:val="002B0064"/>
    <w:rsid w:val="002B1B94"/>
    <w:rsid w:val="002B4581"/>
    <w:rsid w:val="002B5236"/>
    <w:rsid w:val="002B6192"/>
    <w:rsid w:val="002C06D9"/>
    <w:rsid w:val="002C36CB"/>
    <w:rsid w:val="002C3BBD"/>
    <w:rsid w:val="002C7413"/>
    <w:rsid w:val="002D0442"/>
    <w:rsid w:val="002D757B"/>
    <w:rsid w:val="002E216C"/>
    <w:rsid w:val="002F7642"/>
    <w:rsid w:val="003003C8"/>
    <w:rsid w:val="00302015"/>
    <w:rsid w:val="003035E2"/>
    <w:rsid w:val="003054B9"/>
    <w:rsid w:val="00306B60"/>
    <w:rsid w:val="003076FE"/>
    <w:rsid w:val="00310208"/>
    <w:rsid w:val="0031048B"/>
    <w:rsid w:val="00310CB1"/>
    <w:rsid w:val="0031165D"/>
    <w:rsid w:val="003139A9"/>
    <w:rsid w:val="0031453A"/>
    <w:rsid w:val="003153C8"/>
    <w:rsid w:val="0031593A"/>
    <w:rsid w:val="003236A7"/>
    <w:rsid w:val="00326EC4"/>
    <w:rsid w:val="0032738B"/>
    <w:rsid w:val="00334897"/>
    <w:rsid w:val="00344511"/>
    <w:rsid w:val="00344C2B"/>
    <w:rsid w:val="003457E0"/>
    <w:rsid w:val="00351549"/>
    <w:rsid w:val="00352C51"/>
    <w:rsid w:val="003531B6"/>
    <w:rsid w:val="003615CA"/>
    <w:rsid w:val="00364135"/>
    <w:rsid w:val="0036524A"/>
    <w:rsid w:val="003652C8"/>
    <w:rsid w:val="00372BA9"/>
    <w:rsid w:val="003815DF"/>
    <w:rsid w:val="00383081"/>
    <w:rsid w:val="00384442"/>
    <w:rsid w:val="00385E2E"/>
    <w:rsid w:val="00390A91"/>
    <w:rsid w:val="00392041"/>
    <w:rsid w:val="00392DC4"/>
    <w:rsid w:val="003A031B"/>
    <w:rsid w:val="003A086D"/>
    <w:rsid w:val="003A1456"/>
    <w:rsid w:val="003A1CFA"/>
    <w:rsid w:val="003A1EC2"/>
    <w:rsid w:val="003A20CF"/>
    <w:rsid w:val="003A5CA6"/>
    <w:rsid w:val="003A5DCE"/>
    <w:rsid w:val="003A633E"/>
    <w:rsid w:val="003B0DC6"/>
    <w:rsid w:val="003B39B0"/>
    <w:rsid w:val="003B482A"/>
    <w:rsid w:val="003B4EE8"/>
    <w:rsid w:val="003B6AC6"/>
    <w:rsid w:val="003B7210"/>
    <w:rsid w:val="003B75DD"/>
    <w:rsid w:val="003C3EBD"/>
    <w:rsid w:val="003C4686"/>
    <w:rsid w:val="003C59EF"/>
    <w:rsid w:val="003C7138"/>
    <w:rsid w:val="003D357E"/>
    <w:rsid w:val="003D4944"/>
    <w:rsid w:val="003D5AE8"/>
    <w:rsid w:val="003E027B"/>
    <w:rsid w:val="003E03F1"/>
    <w:rsid w:val="003E3063"/>
    <w:rsid w:val="003E4B3D"/>
    <w:rsid w:val="003E5318"/>
    <w:rsid w:val="003E56C9"/>
    <w:rsid w:val="003E6724"/>
    <w:rsid w:val="003E7068"/>
    <w:rsid w:val="003E73B9"/>
    <w:rsid w:val="003E7C9C"/>
    <w:rsid w:val="003F0859"/>
    <w:rsid w:val="00400529"/>
    <w:rsid w:val="00404778"/>
    <w:rsid w:val="00407920"/>
    <w:rsid w:val="00414F03"/>
    <w:rsid w:val="00415FAC"/>
    <w:rsid w:val="00417580"/>
    <w:rsid w:val="0041794D"/>
    <w:rsid w:val="004204CE"/>
    <w:rsid w:val="004264EC"/>
    <w:rsid w:val="004307FA"/>
    <w:rsid w:val="0043243C"/>
    <w:rsid w:val="00433875"/>
    <w:rsid w:val="00435009"/>
    <w:rsid w:val="00444851"/>
    <w:rsid w:val="00445233"/>
    <w:rsid w:val="004459FB"/>
    <w:rsid w:val="0045342F"/>
    <w:rsid w:val="004551E3"/>
    <w:rsid w:val="00456964"/>
    <w:rsid w:val="00461369"/>
    <w:rsid w:val="00466CA8"/>
    <w:rsid w:val="00470742"/>
    <w:rsid w:val="00471796"/>
    <w:rsid w:val="004728CA"/>
    <w:rsid w:val="004739A9"/>
    <w:rsid w:val="004757CD"/>
    <w:rsid w:val="00480B46"/>
    <w:rsid w:val="00491B53"/>
    <w:rsid w:val="00492C1E"/>
    <w:rsid w:val="00493FE5"/>
    <w:rsid w:val="00494C8A"/>
    <w:rsid w:val="004961FD"/>
    <w:rsid w:val="004A16D3"/>
    <w:rsid w:val="004A1CFF"/>
    <w:rsid w:val="004A24F0"/>
    <w:rsid w:val="004A57C7"/>
    <w:rsid w:val="004A7598"/>
    <w:rsid w:val="004B09F4"/>
    <w:rsid w:val="004B17FC"/>
    <w:rsid w:val="004B2134"/>
    <w:rsid w:val="004B4665"/>
    <w:rsid w:val="004B4910"/>
    <w:rsid w:val="004B6F19"/>
    <w:rsid w:val="004C15CC"/>
    <w:rsid w:val="004C3181"/>
    <w:rsid w:val="004D08B0"/>
    <w:rsid w:val="004D1D4B"/>
    <w:rsid w:val="004D66BD"/>
    <w:rsid w:val="004D6CA1"/>
    <w:rsid w:val="004D765A"/>
    <w:rsid w:val="004E0537"/>
    <w:rsid w:val="004E11CF"/>
    <w:rsid w:val="004E1CE3"/>
    <w:rsid w:val="004E1D51"/>
    <w:rsid w:val="004E43F9"/>
    <w:rsid w:val="004E4C10"/>
    <w:rsid w:val="004E682C"/>
    <w:rsid w:val="004E732D"/>
    <w:rsid w:val="004F04FA"/>
    <w:rsid w:val="004F0A24"/>
    <w:rsid w:val="004F0AFB"/>
    <w:rsid w:val="004F0C2B"/>
    <w:rsid w:val="004F336F"/>
    <w:rsid w:val="004F7C85"/>
    <w:rsid w:val="00502981"/>
    <w:rsid w:val="00502EB1"/>
    <w:rsid w:val="005036E4"/>
    <w:rsid w:val="005049E3"/>
    <w:rsid w:val="00504EB6"/>
    <w:rsid w:val="00514540"/>
    <w:rsid w:val="00516B3D"/>
    <w:rsid w:val="005170D0"/>
    <w:rsid w:val="005172F9"/>
    <w:rsid w:val="00517313"/>
    <w:rsid w:val="00520132"/>
    <w:rsid w:val="00523769"/>
    <w:rsid w:val="00525607"/>
    <w:rsid w:val="00525EA5"/>
    <w:rsid w:val="00530E09"/>
    <w:rsid w:val="00531A70"/>
    <w:rsid w:val="00533306"/>
    <w:rsid w:val="0053615D"/>
    <w:rsid w:val="00540709"/>
    <w:rsid w:val="00541DE3"/>
    <w:rsid w:val="00544CE8"/>
    <w:rsid w:val="00553067"/>
    <w:rsid w:val="00553AE5"/>
    <w:rsid w:val="00554EEA"/>
    <w:rsid w:val="00555952"/>
    <w:rsid w:val="00566ABC"/>
    <w:rsid w:val="00572553"/>
    <w:rsid w:val="005742E1"/>
    <w:rsid w:val="00577DF5"/>
    <w:rsid w:val="0058572D"/>
    <w:rsid w:val="00586720"/>
    <w:rsid w:val="0059217A"/>
    <w:rsid w:val="0059373D"/>
    <w:rsid w:val="00593AF9"/>
    <w:rsid w:val="005979CF"/>
    <w:rsid w:val="005A2526"/>
    <w:rsid w:val="005A2FB2"/>
    <w:rsid w:val="005A3063"/>
    <w:rsid w:val="005A6CCB"/>
    <w:rsid w:val="005A7493"/>
    <w:rsid w:val="005A7AD5"/>
    <w:rsid w:val="005B14DF"/>
    <w:rsid w:val="005B2B42"/>
    <w:rsid w:val="005B45E2"/>
    <w:rsid w:val="005B53B1"/>
    <w:rsid w:val="005B6E88"/>
    <w:rsid w:val="005C0D4B"/>
    <w:rsid w:val="005C35C8"/>
    <w:rsid w:val="005C48E5"/>
    <w:rsid w:val="005C4DD7"/>
    <w:rsid w:val="005D0A89"/>
    <w:rsid w:val="005D3DDD"/>
    <w:rsid w:val="005D7F9A"/>
    <w:rsid w:val="005E0F6B"/>
    <w:rsid w:val="005E2FC9"/>
    <w:rsid w:val="005E3742"/>
    <w:rsid w:val="005E6F5D"/>
    <w:rsid w:val="005F2E3D"/>
    <w:rsid w:val="005F324F"/>
    <w:rsid w:val="005F3ECC"/>
    <w:rsid w:val="006010CE"/>
    <w:rsid w:val="00604297"/>
    <w:rsid w:val="00604716"/>
    <w:rsid w:val="00605B3E"/>
    <w:rsid w:val="00606DF1"/>
    <w:rsid w:val="00617558"/>
    <w:rsid w:val="00620712"/>
    <w:rsid w:val="00623CC4"/>
    <w:rsid w:val="00626AF6"/>
    <w:rsid w:val="00627F08"/>
    <w:rsid w:val="00630055"/>
    <w:rsid w:val="00632F23"/>
    <w:rsid w:val="00633566"/>
    <w:rsid w:val="00634FF2"/>
    <w:rsid w:val="006371FA"/>
    <w:rsid w:val="00646143"/>
    <w:rsid w:val="00646CE2"/>
    <w:rsid w:val="00647AA5"/>
    <w:rsid w:val="0065168C"/>
    <w:rsid w:val="006516B5"/>
    <w:rsid w:val="00652F10"/>
    <w:rsid w:val="00654AB0"/>
    <w:rsid w:val="00657DDD"/>
    <w:rsid w:val="00660326"/>
    <w:rsid w:val="00660F5A"/>
    <w:rsid w:val="006664D4"/>
    <w:rsid w:val="006716AA"/>
    <w:rsid w:val="006746AA"/>
    <w:rsid w:val="00677ABC"/>
    <w:rsid w:val="00681EC6"/>
    <w:rsid w:val="00682811"/>
    <w:rsid w:val="00684D75"/>
    <w:rsid w:val="0069088C"/>
    <w:rsid w:val="00694141"/>
    <w:rsid w:val="0069571A"/>
    <w:rsid w:val="006959DB"/>
    <w:rsid w:val="006961E7"/>
    <w:rsid w:val="00696F58"/>
    <w:rsid w:val="006974E8"/>
    <w:rsid w:val="006A034D"/>
    <w:rsid w:val="006A3496"/>
    <w:rsid w:val="006A3ABD"/>
    <w:rsid w:val="006B0277"/>
    <w:rsid w:val="006B10EF"/>
    <w:rsid w:val="006B1B01"/>
    <w:rsid w:val="006C0DAD"/>
    <w:rsid w:val="006C6C9A"/>
    <w:rsid w:val="006D28D0"/>
    <w:rsid w:val="006D394C"/>
    <w:rsid w:val="006D4D3D"/>
    <w:rsid w:val="006D7C64"/>
    <w:rsid w:val="006E1986"/>
    <w:rsid w:val="006E3CAB"/>
    <w:rsid w:val="006E47BF"/>
    <w:rsid w:val="006F4139"/>
    <w:rsid w:val="006F79FA"/>
    <w:rsid w:val="007011F1"/>
    <w:rsid w:val="00701D98"/>
    <w:rsid w:val="0071200C"/>
    <w:rsid w:val="00716BEF"/>
    <w:rsid w:val="00717A0E"/>
    <w:rsid w:val="00721C5E"/>
    <w:rsid w:val="007228B5"/>
    <w:rsid w:val="00724FD0"/>
    <w:rsid w:val="007250F0"/>
    <w:rsid w:val="0072527C"/>
    <w:rsid w:val="00725337"/>
    <w:rsid w:val="00732371"/>
    <w:rsid w:val="00732FF3"/>
    <w:rsid w:val="00733939"/>
    <w:rsid w:val="00734311"/>
    <w:rsid w:val="007366FA"/>
    <w:rsid w:val="00742C5D"/>
    <w:rsid w:val="00744B5F"/>
    <w:rsid w:val="0074632E"/>
    <w:rsid w:val="007471A2"/>
    <w:rsid w:val="00747428"/>
    <w:rsid w:val="00747E5A"/>
    <w:rsid w:val="0075028E"/>
    <w:rsid w:val="0075394D"/>
    <w:rsid w:val="00756351"/>
    <w:rsid w:val="00763417"/>
    <w:rsid w:val="00766345"/>
    <w:rsid w:val="007728AF"/>
    <w:rsid w:val="0077572D"/>
    <w:rsid w:val="00776048"/>
    <w:rsid w:val="0077676D"/>
    <w:rsid w:val="007812D9"/>
    <w:rsid w:val="007834B1"/>
    <w:rsid w:val="0078354C"/>
    <w:rsid w:val="00783C4D"/>
    <w:rsid w:val="0078423B"/>
    <w:rsid w:val="00785971"/>
    <w:rsid w:val="00787F87"/>
    <w:rsid w:val="007901A0"/>
    <w:rsid w:val="00795CAD"/>
    <w:rsid w:val="0079689C"/>
    <w:rsid w:val="00797AF0"/>
    <w:rsid w:val="007A25C8"/>
    <w:rsid w:val="007A6AB2"/>
    <w:rsid w:val="007B06F5"/>
    <w:rsid w:val="007B22E0"/>
    <w:rsid w:val="007B246C"/>
    <w:rsid w:val="007B7F50"/>
    <w:rsid w:val="007C06D8"/>
    <w:rsid w:val="007D218F"/>
    <w:rsid w:val="007D24A8"/>
    <w:rsid w:val="007D3932"/>
    <w:rsid w:val="007D3E75"/>
    <w:rsid w:val="007E0062"/>
    <w:rsid w:val="007E4CAB"/>
    <w:rsid w:val="007E7839"/>
    <w:rsid w:val="007F0412"/>
    <w:rsid w:val="00802299"/>
    <w:rsid w:val="00804899"/>
    <w:rsid w:val="00804D75"/>
    <w:rsid w:val="00805F8A"/>
    <w:rsid w:val="008119A4"/>
    <w:rsid w:val="0081491B"/>
    <w:rsid w:val="008204D8"/>
    <w:rsid w:val="00820B29"/>
    <w:rsid w:val="0082220F"/>
    <w:rsid w:val="00824F0A"/>
    <w:rsid w:val="00826437"/>
    <w:rsid w:val="00830A65"/>
    <w:rsid w:val="0083148B"/>
    <w:rsid w:val="0083248E"/>
    <w:rsid w:val="0083276A"/>
    <w:rsid w:val="008329A3"/>
    <w:rsid w:val="00833054"/>
    <w:rsid w:val="00833685"/>
    <w:rsid w:val="00844961"/>
    <w:rsid w:val="00845475"/>
    <w:rsid w:val="008457F7"/>
    <w:rsid w:val="0085156A"/>
    <w:rsid w:val="00851EB4"/>
    <w:rsid w:val="00853995"/>
    <w:rsid w:val="008620D5"/>
    <w:rsid w:val="00863092"/>
    <w:rsid w:val="0086352F"/>
    <w:rsid w:val="0086459C"/>
    <w:rsid w:val="00867EE0"/>
    <w:rsid w:val="0087134C"/>
    <w:rsid w:val="008733B7"/>
    <w:rsid w:val="00876D80"/>
    <w:rsid w:val="008836EF"/>
    <w:rsid w:val="0088506C"/>
    <w:rsid w:val="008853AE"/>
    <w:rsid w:val="008863EF"/>
    <w:rsid w:val="0088763F"/>
    <w:rsid w:val="00892B0A"/>
    <w:rsid w:val="0089431E"/>
    <w:rsid w:val="00896C2E"/>
    <w:rsid w:val="008A13B5"/>
    <w:rsid w:val="008A1843"/>
    <w:rsid w:val="008A1AC0"/>
    <w:rsid w:val="008A3A63"/>
    <w:rsid w:val="008A3E8A"/>
    <w:rsid w:val="008A4D4D"/>
    <w:rsid w:val="008A5B92"/>
    <w:rsid w:val="008A7989"/>
    <w:rsid w:val="008B1487"/>
    <w:rsid w:val="008B2B5B"/>
    <w:rsid w:val="008B3548"/>
    <w:rsid w:val="008B5F23"/>
    <w:rsid w:val="008B62F0"/>
    <w:rsid w:val="008C0839"/>
    <w:rsid w:val="008C1BE7"/>
    <w:rsid w:val="008C2558"/>
    <w:rsid w:val="008C33D0"/>
    <w:rsid w:val="008C3886"/>
    <w:rsid w:val="008C443B"/>
    <w:rsid w:val="008C56BD"/>
    <w:rsid w:val="008C5B33"/>
    <w:rsid w:val="008D0F4F"/>
    <w:rsid w:val="008D1A99"/>
    <w:rsid w:val="008D3F2A"/>
    <w:rsid w:val="008D6A38"/>
    <w:rsid w:val="008E685D"/>
    <w:rsid w:val="008E7019"/>
    <w:rsid w:val="008F3556"/>
    <w:rsid w:val="008F4661"/>
    <w:rsid w:val="008F71B9"/>
    <w:rsid w:val="00901157"/>
    <w:rsid w:val="00903AF4"/>
    <w:rsid w:val="00903C5E"/>
    <w:rsid w:val="00907253"/>
    <w:rsid w:val="00911597"/>
    <w:rsid w:val="00911686"/>
    <w:rsid w:val="00911DF6"/>
    <w:rsid w:val="00914C91"/>
    <w:rsid w:val="00915A0E"/>
    <w:rsid w:val="00915BC3"/>
    <w:rsid w:val="00921D8A"/>
    <w:rsid w:val="00923BC0"/>
    <w:rsid w:val="00924A28"/>
    <w:rsid w:val="00924FA4"/>
    <w:rsid w:val="00927C9F"/>
    <w:rsid w:val="009301C6"/>
    <w:rsid w:val="009327DF"/>
    <w:rsid w:val="009338B5"/>
    <w:rsid w:val="009339B0"/>
    <w:rsid w:val="009408F8"/>
    <w:rsid w:val="009419B9"/>
    <w:rsid w:val="00942103"/>
    <w:rsid w:val="00945DEA"/>
    <w:rsid w:val="00945FD9"/>
    <w:rsid w:val="00946408"/>
    <w:rsid w:val="009466B4"/>
    <w:rsid w:val="00947AFB"/>
    <w:rsid w:val="00951A0D"/>
    <w:rsid w:val="00954339"/>
    <w:rsid w:val="0095436C"/>
    <w:rsid w:val="00961A7E"/>
    <w:rsid w:val="00964F70"/>
    <w:rsid w:val="00965C4F"/>
    <w:rsid w:val="0096734C"/>
    <w:rsid w:val="009743A6"/>
    <w:rsid w:val="00976AA2"/>
    <w:rsid w:val="0098139E"/>
    <w:rsid w:val="00982D67"/>
    <w:rsid w:val="00983499"/>
    <w:rsid w:val="00984048"/>
    <w:rsid w:val="00985061"/>
    <w:rsid w:val="009930FB"/>
    <w:rsid w:val="00993A5A"/>
    <w:rsid w:val="00996475"/>
    <w:rsid w:val="009A07F8"/>
    <w:rsid w:val="009A32F5"/>
    <w:rsid w:val="009A4182"/>
    <w:rsid w:val="009B0C14"/>
    <w:rsid w:val="009B5ED0"/>
    <w:rsid w:val="009C12C9"/>
    <w:rsid w:val="009C29DE"/>
    <w:rsid w:val="009C3936"/>
    <w:rsid w:val="009D378B"/>
    <w:rsid w:val="009D3B5B"/>
    <w:rsid w:val="009D45BF"/>
    <w:rsid w:val="009D6787"/>
    <w:rsid w:val="009E239B"/>
    <w:rsid w:val="009E4B78"/>
    <w:rsid w:val="009E508F"/>
    <w:rsid w:val="009E6920"/>
    <w:rsid w:val="009F1696"/>
    <w:rsid w:val="009F1914"/>
    <w:rsid w:val="009F3A4A"/>
    <w:rsid w:val="009F437E"/>
    <w:rsid w:val="009F4513"/>
    <w:rsid w:val="009F4E78"/>
    <w:rsid w:val="00A027ED"/>
    <w:rsid w:val="00A0452F"/>
    <w:rsid w:val="00A0614C"/>
    <w:rsid w:val="00A102AC"/>
    <w:rsid w:val="00A11EBB"/>
    <w:rsid w:val="00A17FA8"/>
    <w:rsid w:val="00A2336C"/>
    <w:rsid w:val="00A30CDB"/>
    <w:rsid w:val="00A33FC8"/>
    <w:rsid w:val="00A35884"/>
    <w:rsid w:val="00A358DA"/>
    <w:rsid w:val="00A41212"/>
    <w:rsid w:val="00A41FC4"/>
    <w:rsid w:val="00A4218D"/>
    <w:rsid w:val="00A42DF4"/>
    <w:rsid w:val="00A42ECF"/>
    <w:rsid w:val="00A43C3D"/>
    <w:rsid w:val="00A43E41"/>
    <w:rsid w:val="00A43F9B"/>
    <w:rsid w:val="00A52954"/>
    <w:rsid w:val="00A61940"/>
    <w:rsid w:val="00A6394F"/>
    <w:rsid w:val="00A64A94"/>
    <w:rsid w:val="00A651D0"/>
    <w:rsid w:val="00A65AF8"/>
    <w:rsid w:val="00A745AC"/>
    <w:rsid w:val="00A750F3"/>
    <w:rsid w:val="00A8153C"/>
    <w:rsid w:val="00A82B53"/>
    <w:rsid w:val="00A8600B"/>
    <w:rsid w:val="00A867F0"/>
    <w:rsid w:val="00A903C6"/>
    <w:rsid w:val="00A90997"/>
    <w:rsid w:val="00A91423"/>
    <w:rsid w:val="00A91E43"/>
    <w:rsid w:val="00A9372F"/>
    <w:rsid w:val="00A94EEA"/>
    <w:rsid w:val="00A95732"/>
    <w:rsid w:val="00AA1242"/>
    <w:rsid w:val="00AA2AED"/>
    <w:rsid w:val="00AA2F82"/>
    <w:rsid w:val="00AA5ADB"/>
    <w:rsid w:val="00AB0C4F"/>
    <w:rsid w:val="00AB1F9E"/>
    <w:rsid w:val="00AB72CD"/>
    <w:rsid w:val="00AB79EC"/>
    <w:rsid w:val="00AC40C4"/>
    <w:rsid w:val="00AC4352"/>
    <w:rsid w:val="00AC50B7"/>
    <w:rsid w:val="00AC55A7"/>
    <w:rsid w:val="00AC7907"/>
    <w:rsid w:val="00AD150C"/>
    <w:rsid w:val="00AD199B"/>
    <w:rsid w:val="00AE25DB"/>
    <w:rsid w:val="00AE3ED5"/>
    <w:rsid w:val="00AE5663"/>
    <w:rsid w:val="00AF1A25"/>
    <w:rsid w:val="00B07CA0"/>
    <w:rsid w:val="00B112EB"/>
    <w:rsid w:val="00B12549"/>
    <w:rsid w:val="00B12A04"/>
    <w:rsid w:val="00B14E99"/>
    <w:rsid w:val="00B22353"/>
    <w:rsid w:val="00B227D2"/>
    <w:rsid w:val="00B249E6"/>
    <w:rsid w:val="00B32931"/>
    <w:rsid w:val="00B4022D"/>
    <w:rsid w:val="00B42291"/>
    <w:rsid w:val="00B42B90"/>
    <w:rsid w:val="00B4378C"/>
    <w:rsid w:val="00B443A0"/>
    <w:rsid w:val="00B50270"/>
    <w:rsid w:val="00B50F0E"/>
    <w:rsid w:val="00B528B9"/>
    <w:rsid w:val="00B52ED5"/>
    <w:rsid w:val="00B53DB9"/>
    <w:rsid w:val="00B5732D"/>
    <w:rsid w:val="00B64AB4"/>
    <w:rsid w:val="00B653CD"/>
    <w:rsid w:val="00B7354E"/>
    <w:rsid w:val="00B743B3"/>
    <w:rsid w:val="00B746D2"/>
    <w:rsid w:val="00B74A55"/>
    <w:rsid w:val="00B7563A"/>
    <w:rsid w:val="00B77FC6"/>
    <w:rsid w:val="00B82AC9"/>
    <w:rsid w:val="00B84973"/>
    <w:rsid w:val="00B858AA"/>
    <w:rsid w:val="00B86245"/>
    <w:rsid w:val="00B86EE6"/>
    <w:rsid w:val="00B87B95"/>
    <w:rsid w:val="00B9239B"/>
    <w:rsid w:val="00B93823"/>
    <w:rsid w:val="00B96E27"/>
    <w:rsid w:val="00BA1BE6"/>
    <w:rsid w:val="00BA4CBB"/>
    <w:rsid w:val="00BB14C4"/>
    <w:rsid w:val="00BB264B"/>
    <w:rsid w:val="00BC0D79"/>
    <w:rsid w:val="00BC38F8"/>
    <w:rsid w:val="00BC3998"/>
    <w:rsid w:val="00BC3D42"/>
    <w:rsid w:val="00BC64E5"/>
    <w:rsid w:val="00BC725D"/>
    <w:rsid w:val="00BD2AAE"/>
    <w:rsid w:val="00BD4A58"/>
    <w:rsid w:val="00BD78DF"/>
    <w:rsid w:val="00BE0B9B"/>
    <w:rsid w:val="00BE3F16"/>
    <w:rsid w:val="00BE43CE"/>
    <w:rsid w:val="00BE44DD"/>
    <w:rsid w:val="00BE4D62"/>
    <w:rsid w:val="00BE5921"/>
    <w:rsid w:val="00BE659C"/>
    <w:rsid w:val="00BF227A"/>
    <w:rsid w:val="00BF3450"/>
    <w:rsid w:val="00C01060"/>
    <w:rsid w:val="00C0139A"/>
    <w:rsid w:val="00C020CE"/>
    <w:rsid w:val="00C03E43"/>
    <w:rsid w:val="00C06ACC"/>
    <w:rsid w:val="00C07C30"/>
    <w:rsid w:val="00C10273"/>
    <w:rsid w:val="00C151A2"/>
    <w:rsid w:val="00C156A6"/>
    <w:rsid w:val="00C15FDE"/>
    <w:rsid w:val="00C21656"/>
    <w:rsid w:val="00C25AD1"/>
    <w:rsid w:val="00C31904"/>
    <w:rsid w:val="00C32072"/>
    <w:rsid w:val="00C32753"/>
    <w:rsid w:val="00C33E44"/>
    <w:rsid w:val="00C37875"/>
    <w:rsid w:val="00C47083"/>
    <w:rsid w:val="00C47650"/>
    <w:rsid w:val="00C52296"/>
    <w:rsid w:val="00C5376D"/>
    <w:rsid w:val="00C61B9D"/>
    <w:rsid w:val="00C62620"/>
    <w:rsid w:val="00C64887"/>
    <w:rsid w:val="00C66374"/>
    <w:rsid w:val="00C71F86"/>
    <w:rsid w:val="00C73979"/>
    <w:rsid w:val="00C74117"/>
    <w:rsid w:val="00C80EC4"/>
    <w:rsid w:val="00C81A02"/>
    <w:rsid w:val="00C81F54"/>
    <w:rsid w:val="00C8354A"/>
    <w:rsid w:val="00C84F02"/>
    <w:rsid w:val="00C851BF"/>
    <w:rsid w:val="00C86EF5"/>
    <w:rsid w:val="00C910C6"/>
    <w:rsid w:val="00C92713"/>
    <w:rsid w:val="00C957F2"/>
    <w:rsid w:val="00C95F1C"/>
    <w:rsid w:val="00CA2193"/>
    <w:rsid w:val="00CA2B9A"/>
    <w:rsid w:val="00CA3252"/>
    <w:rsid w:val="00CA69EB"/>
    <w:rsid w:val="00CB058B"/>
    <w:rsid w:val="00CB23D2"/>
    <w:rsid w:val="00CB4261"/>
    <w:rsid w:val="00CB459A"/>
    <w:rsid w:val="00CB55E7"/>
    <w:rsid w:val="00CB7911"/>
    <w:rsid w:val="00CC7A5D"/>
    <w:rsid w:val="00CC7CCC"/>
    <w:rsid w:val="00CD0681"/>
    <w:rsid w:val="00CD2835"/>
    <w:rsid w:val="00CD419A"/>
    <w:rsid w:val="00CD5B58"/>
    <w:rsid w:val="00CD7B7A"/>
    <w:rsid w:val="00CE64E7"/>
    <w:rsid w:val="00CE7ACA"/>
    <w:rsid w:val="00CF0172"/>
    <w:rsid w:val="00CF07AE"/>
    <w:rsid w:val="00CF0A91"/>
    <w:rsid w:val="00CF6518"/>
    <w:rsid w:val="00D019C5"/>
    <w:rsid w:val="00D04C7F"/>
    <w:rsid w:val="00D04FFF"/>
    <w:rsid w:val="00D05351"/>
    <w:rsid w:val="00D12350"/>
    <w:rsid w:val="00D13AFA"/>
    <w:rsid w:val="00D1438D"/>
    <w:rsid w:val="00D14AAB"/>
    <w:rsid w:val="00D15200"/>
    <w:rsid w:val="00D156FD"/>
    <w:rsid w:val="00D16ACC"/>
    <w:rsid w:val="00D21909"/>
    <w:rsid w:val="00D24C42"/>
    <w:rsid w:val="00D25B2D"/>
    <w:rsid w:val="00D26BF1"/>
    <w:rsid w:val="00D368C9"/>
    <w:rsid w:val="00D417FB"/>
    <w:rsid w:val="00D42DE1"/>
    <w:rsid w:val="00D4798F"/>
    <w:rsid w:val="00D570BD"/>
    <w:rsid w:val="00D57D6D"/>
    <w:rsid w:val="00D57F5B"/>
    <w:rsid w:val="00D61DDA"/>
    <w:rsid w:val="00D6238E"/>
    <w:rsid w:val="00D62A36"/>
    <w:rsid w:val="00D6603B"/>
    <w:rsid w:val="00D722B3"/>
    <w:rsid w:val="00D75861"/>
    <w:rsid w:val="00D75F85"/>
    <w:rsid w:val="00D76B61"/>
    <w:rsid w:val="00D84764"/>
    <w:rsid w:val="00D84B29"/>
    <w:rsid w:val="00D85C65"/>
    <w:rsid w:val="00D86757"/>
    <w:rsid w:val="00D86B4A"/>
    <w:rsid w:val="00D87C95"/>
    <w:rsid w:val="00D91C42"/>
    <w:rsid w:val="00D9484D"/>
    <w:rsid w:val="00D94B85"/>
    <w:rsid w:val="00D95AA0"/>
    <w:rsid w:val="00D9760F"/>
    <w:rsid w:val="00DA2057"/>
    <w:rsid w:val="00DA30D8"/>
    <w:rsid w:val="00DA4FC3"/>
    <w:rsid w:val="00DA53E8"/>
    <w:rsid w:val="00DA6A6B"/>
    <w:rsid w:val="00DB0772"/>
    <w:rsid w:val="00DB1FAC"/>
    <w:rsid w:val="00DB5AC9"/>
    <w:rsid w:val="00DB6041"/>
    <w:rsid w:val="00DB612F"/>
    <w:rsid w:val="00DC1493"/>
    <w:rsid w:val="00DC33C3"/>
    <w:rsid w:val="00DC42C3"/>
    <w:rsid w:val="00DC576D"/>
    <w:rsid w:val="00DC7D12"/>
    <w:rsid w:val="00DD1542"/>
    <w:rsid w:val="00DD2D72"/>
    <w:rsid w:val="00DD5924"/>
    <w:rsid w:val="00DD7E26"/>
    <w:rsid w:val="00DE051D"/>
    <w:rsid w:val="00DE18C7"/>
    <w:rsid w:val="00DE1F5F"/>
    <w:rsid w:val="00DE27E4"/>
    <w:rsid w:val="00DE2DDC"/>
    <w:rsid w:val="00DE3B24"/>
    <w:rsid w:val="00DE41EB"/>
    <w:rsid w:val="00DE7459"/>
    <w:rsid w:val="00DE7E63"/>
    <w:rsid w:val="00DF02C8"/>
    <w:rsid w:val="00DF2116"/>
    <w:rsid w:val="00DF70EB"/>
    <w:rsid w:val="00DF75CC"/>
    <w:rsid w:val="00E033BF"/>
    <w:rsid w:val="00E05D7E"/>
    <w:rsid w:val="00E15FD3"/>
    <w:rsid w:val="00E17327"/>
    <w:rsid w:val="00E208D0"/>
    <w:rsid w:val="00E2219B"/>
    <w:rsid w:val="00E22654"/>
    <w:rsid w:val="00E2400A"/>
    <w:rsid w:val="00E2504E"/>
    <w:rsid w:val="00E33EF8"/>
    <w:rsid w:val="00E34422"/>
    <w:rsid w:val="00E34CAA"/>
    <w:rsid w:val="00E36CF3"/>
    <w:rsid w:val="00E37AA5"/>
    <w:rsid w:val="00E424F9"/>
    <w:rsid w:val="00E435D8"/>
    <w:rsid w:val="00E445F9"/>
    <w:rsid w:val="00E475D2"/>
    <w:rsid w:val="00E52FAC"/>
    <w:rsid w:val="00E55355"/>
    <w:rsid w:val="00E5707D"/>
    <w:rsid w:val="00E5760F"/>
    <w:rsid w:val="00E61085"/>
    <w:rsid w:val="00E62361"/>
    <w:rsid w:val="00E63E56"/>
    <w:rsid w:val="00E6531A"/>
    <w:rsid w:val="00E65A3A"/>
    <w:rsid w:val="00E66391"/>
    <w:rsid w:val="00E7127A"/>
    <w:rsid w:val="00E71D65"/>
    <w:rsid w:val="00E74286"/>
    <w:rsid w:val="00E76C7C"/>
    <w:rsid w:val="00E80CC5"/>
    <w:rsid w:val="00E84D76"/>
    <w:rsid w:val="00E85E7A"/>
    <w:rsid w:val="00E861A2"/>
    <w:rsid w:val="00E924CA"/>
    <w:rsid w:val="00E929A8"/>
    <w:rsid w:val="00E93127"/>
    <w:rsid w:val="00E938C6"/>
    <w:rsid w:val="00EC02C2"/>
    <w:rsid w:val="00EC05E2"/>
    <w:rsid w:val="00EC1176"/>
    <w:rsid w:val="00ED0A65"/>
    <w:rsid w:val="00ED1700"/>
    <w:rsid w:val="00ED191D"/>
    <w:rsid w:val="00ED4154"/>
    <w:rsid w:val="00ED55AE"/>
    <w:rsid w:val="00EE0EFD"/>
    <w:rsid w:val="00EE2560"/>
    <w:rsid w:val="00EE5AB2"/>
    <w:rsid w:val="00EF5F97"/>
    <w:rsid w:val="00F0043C"/>
    <w:rsid w:val="00F00482"/>
    <w:rsid w:val="00F0223B"/>
    <w:rsid w:val="00F1310A"/>
    <w:rsid w:val="00F169EA"/>
    <w:rsid w:val="00F234D8"/>
    <w:rsid w:val="00F23773"/>
    <w:rsid w:val="00F24AAB"/>
    <w:rsid w:val="00F24C16"/>
    <w:rsid w:val="00F24FC8"/>
    <w:rsid w:val="00F2548A"/>
    <w:rsid w:val="00F26C9A"/>
    <w:rsid w:val="00F31065"/>
    <w:rsid w:val="00F32A0E"/>
    <w:rsid w:val="00F35691"/>
    <w:rsid w:val="00F36715"/>
    <w:rsid w:val="00F37436"/>
    <w:rsid w:val="00F40E68"/>
    <w:rsid w:val="00F433A7"/>
    <w:rsid w:val="00F46A4B"/>
    <w:rsid w:val="00F477C5"/>
    <w:rsid w:val="00F51686"/>
    <w:rsid w:val="00F540D4"/>
    <w:rsid w:val="00F60317"/>
    <w:rsid w:val="00F63058"/>
    <w:rsid w:val="00F6348C"/>
    <w:rsid w:val="00F64979"/>
    <w:rsid w:val="00F66B2F"/>
    <w:rsid w:val="00F72D80"/>
    <w:rsid w:val="00F74865"/>
    <w:rsid w:val="00F76DBB"/>
    <w:rsid w:val="00F81EC5"/>
    <w:rsid w:val="00F83D6A"/>
    <w:rsid w:val="00F87BEC"/>
    <w:rsid w:val="00F91E52"/>
    <w:rsid w:val="00F91EA9"/>
    <w:rsid w:val="00F957BD"/>
    <w:rsid w:val="00F96D18"/>
    <w:rsid w:val="00F973AA"/>
    <w:rsid w:val="00FA3E59"/>
    <w:rsid w:val="00FA7459"/>
    <w:rsid w:val="00FB0FF4"/>
    <w:rsid w:val="00FB1024"/>
    <w:rsid w:val="00FB4541"/>
    <w:rsid w:val="00FB51FE"/>
    <w:rsid w:val="00FB67CF"/>
    <w:rsid w:val="00FB712B"/>
    <w:rsid w:val="00FC0107"/>
    <w:rsid w:val="00FC0DAA"/>
    <w:rsid w:val="00FC1B81"/>
    <w:rsid w:val="00FC3186"/>
    <w:rsid w:val="00FC3976"/>
    <w:rsid w:val="00FC4E4B"/>
    <w:rsid w:val="00FC6F39"/>
    <w:rsid w:val="00FD3722"/>
    <w:rsid w:val="00FD5368"/>
    <w:rsid w:val="00FE0A21"/>
    <w:rsid w:val="00FE0E16"/>
    <w:rsid w:val="00FE29B1"/>
    <w:rsid w:val="00FE4BE0"/>
    <w:rsid w:val="00FE616A"/>
    <w:rsid w:val="00FE76FA"/>
    <w:rsid w:val="00FF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919A"/>
  <w15:docId w15:val="{0EB86FB1-9543-4029-9EA6-F2D2189D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47A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3348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B1024"/>
    <w:pPr>
      <w:tabs>
        <w:tab w:val="left" w:pos="-720"/>
      </w:tabs>
      <w:suppressAutoHyphens/>
      <w:spacing w:after="0" w:line="240" w:lineRule="auto"/>
      <w:jc w:val="both"/>
    </w:pPr>
    <w:rPr>
      <w:rFonts w:ascii="Verdana" w:eastAsia="Times New Roman" w:hAnsi="Verdana" w:cs="Times New Roman"/>
      <w:sz w:val="20"/>
      <w:szCs w:val="20"/>
      <w:lang w:val="fr-FR" w:eastAsia="fr-FR"/>
    </w:rPr>
  </w:style>
  <w:style w:type="character" w:customStyle="1" w:styleId="CorpsdetexteCar">
    <w:name w:val="Corps de texte Car"/>
    <w:basedOn w:val="Policepardfaut"/>
    <w:link w:val="Corpsdetexte"/>
    <w:rsid w:val="00FB1024"/>
    <w:rPr>
      <w:rFonts w:ascii="Verdana" w:eastAsia="Times New Roman" w:hAnsi="Verdana" w:cs="Times New Roman"/>
      <w:sz w:val="20"/>
      <w:szCs w:val="20"/>
      <w:lang w:val="fr-FR" w:eastAsia="fr-FR"/>
    </w:rPr>
  </w:style>
  <w:style w:type="paragraph" w:styleId="Liste">
    <w:name w:val="List"/>
    <w:basedOn w:val="Normal"/>
    <w:rsid w:val="00FB1024"/>
    <w:pPr>
      <w:spacing w:after="0" w:line="240" w:lineRule="auto"/>
      <w:ind w:left="283" w:hanging="283"/>
    </w:pPr>
    <w:rPr>
      <w:rFonts w:ascii="Verdana" w:eastAsia="Times New Roman" w:hAnsi="Verdana" w:cs="Times New Roman"/>
      <w:sz w:val="20"/>
      <w:szCs w:val="20"/>
      <w:lang w:val="fr-FR" w:eastAsia="fr-FR"/>
    </w:rPr>
  </w:style>
  <w:style w:type="paragraph" w:styleId="Notedebasdepage">
    <w:name w:val="footnote text"/>
    <w:basedOn w:val="Normal"/>
    <w:link w:val="NotedebasdepageCar"/>
    <w:semiHidden/>
    <w:rsid w:val="00FB1024"/>
    <w:pPr>
      <w:spacing w:after="0" w:line="240" w:lineRule="auto"/>
    </w:pPr>
    <w:rPr>
      <w:rFonts w:ascii="Verdana" w:eastAsia="Times New Roman" w:hAnsi="Verdana" w:cs="Times New Roman"/>
      <w:sz w:val="20"/>
      <w:szCs w:val="20"/>
      <w:lang w:val="fr-FR" w:eastAsia="fr-FR"/>
    </w:rPr>
  </w:style>
  <w:style w:type="character" w:customStyle="1" w:styleId="NotedebasdepageCar">
    <w:name w:val="Note de bas de page Car"/>
    <w:basedOn w:val="Policepardfaut"/>
    <w:link w:val="Notedebasdepage"/>
    <w:semiHidden/>
    <w:rsid w:val="00FB1024"/>
    <w:rPr>
      <w:rFonts w:ascii="Verdana" w:eastAsia="Times New Roman" w:hAnsi="Verdana" w:cs="Times New Roman"/>
      <w:sz w:val="20"/>
      <w:szCs w:val="20"/>
      <w:lang w:val="fr-FR" w:eastAsia="fr-FR"/>
    </w:rPr>
  </w:style>
  <w:style w:type="character" w:styleId="Appelnotedebasdep">
    <w:name w:val="footnote reference"/>
    <w:semiHidden/>
    <w:rsid w:val="00FB1024"/>
    <w:rPr>
      <w:vertAlign w:val="superscript"/>
    </w:rPr>
  </w:style>
  <w:style w:type="character" w:styleId="Lienhypertexte">
    <w:name w:val="Hyperlink"/>
    <w:rsid w:val="00FB1024"/>
    <w:rPr>
      <w:color w:val="0000FF"/>
      <w:u w:val="single"/>
    </w:rPr>
  </w:style>
  <w:style w:type="paragraph" w:styleId="En-tte">
    <w:name w:val="header"/>
    <w:basedOn w:val="Normal"/>
    <w:link w:val="En-tteCar"/>
    <w:uiPriority w:val="99"/>
    <w:rsid w:val="00FB1024"/>
    <w:pPr>
      <w:tabs>
        <w:tab w:val="center" w:pos="4703"/>
        <w:tab w:val="right" w:pos="9406"/>
      </w:tabs>
      <w:spacing w:after="0" w:line="240" w:lineRule="auto"/>
    </w:pPr>
    <w:rPr>
      <w:rFonts w:ascii="Verdana" w:eastAsia="Times New Roman" w:hAnsi="Verdana" w:cs="Times New Roman"/>
      <w:sz w:val="20"/>
      <w:szCs w:val="20"/>
      <w:lang w:val="fr-FR" w:eastAsia="fr-FR"/>
    </w:rPr>
  </w:style>
  <w:style w:type="character" w:customStyle="1" w:styleId="En-tteCar">
    <w:name w:val="En-tête Car"/>
    <w:basedOn w:val="Policepardfaut"/>
    <w:link w:val="En-tte"/>
    <w:uiPriority w:val="99"/>
    <w:rsid w:val="00FB1024"/>
    <w:rPr>
      <w:rFonts w:ascii="Verdana" w:eastAsia="Times New Roman" w:hAnsi="Verdana" w:cs="Times New Roman"/>
      <w:sz w:val="20"/>
      <w:szCs w:val="20"/>
      <w:lang w:val="fr-FR" w:eastAsia="fr-FR"/>
    </w:rPr>
  </w:style>
  <w:style w:type="paragraph" w:styleId="Paragraphedeliste">
    <w:name w:val="List Paragraph"/>
    <w:basedOn w:val="Normal"/>
    <w:uiPriority w:val="34"/>
    <w:qFormat/>
    <w:rsid w:val="00E65A3A"/>
    <w:pPr>
      <w:ind w:left="720"/>
      <w:contextualSpacing/>
    </w:pPr>
  </w:style>
  <w:style w:type="character" w:customStyle="1" w:styleId="Titre2Car">
    <w:name w:val="Titre 2 Car"/>
    <w:basedOn w:val="Policepardfaut"/>
    <w:link w:val="Titre2"/>
    <w:uiPriority w:val="9"/>
    <w:rsid w:val="00647AA5"/>
    <w:rPr>
      <w:rFonts w:asciiTheme="majorHAnsi" w:eastAsiaTheme="majorEastAsia" w:hAnsiTheme="majorHAnsi" w:cstheme="majorBidi"/>
      <w:b/>
      <w:bCs/>
      <w:color w:val="4F81BD" w:themeColor="accent1"/>
      <w:sz w:val="26"/>
      <w:szCs w:val="26"/>
    </w:rPr>
  </w:style>
  <w:style w:type="paragraph" w:styleId="Corpsdetexte3">
    <w:name w:val="Body Text 3"/>
    <w:basedOn w:val="Normal"/>
    <w:link w:val="Corpsdetexte3Car"/>
    <w:uiPriority w:val="99"/>
    <w:semiHidden/>
    <w:unhideWhenUsed/>
    <w:rsid w:val="003E027B"/>
    <w:pPr>
      <w:spacing w:after="120"/>
    </w:pPr>
    <w:rPr>
      <w:sz w:val="16"/>
      <w:szCs w:val="16"/>
    </w:rPr>
  </w:style>
  <w:style w:type="character" w:customStyle="1" w:styleId="Corpsdetexte3Car">
    <w:name w:val="Corps de texte 3 Car"/>
    <w:basedOn w:val="Policepardfaut"/>
    <w:link w:val="Corpsdetexte3"/>
    <w:uiPriority w:val="99"/>
    <w:semiHidden/>
    <w:rsid w:val="003E027B"/>
    <w:rPr>
      <w:sz w:val="16"/>
      <w:szCs w:val="16"/>
    </w:rPr>
  </w:style>
  <w:style w:type="paragraph" w:styleId="Normalcentr">
    <w:name w:val="Block Text"/>
    <w:basedOn w:val="Normal"/>
    <w:semiHidden/>
    <w:rsid w:val="003E6724"/>
    <w:pPr>
      <w:spacing w:after="0" w:line="240" w:lineRule="auto"/>
      <w:ind w:left="180" w:right="-108"/>
    </w:pPr>
    <w:rPr>
      <w:rFonts w:ascii="Times New Roman" w:eastAsia="Times New Roman" w:hAnsi="Times New Roman" w:cs="Times New Roman"/>
      <w:sz w:val="24"/>
      <w:szCs w:val="20"/>
      <w:lang w:val="fr-FR"/>
    </w:rPr>
  </w:style>
  <w:style w:type="paragraph" w:customStyle="1" w:styleId="Default">
    <w:name w:val="Default"/>
    <w:rsid w:val="00A41FC4"/>
    <w:pPr>
      <w:autoSpaceDE w:val="0"/>
      <w:autoSpaceDN w:val="0"/>
      <w:adjustRightInd w:val="0"/>
      <w:spacing w:after="0" w:line="240" w:lineRule="auto"/>
    </w:pPr>
    <w:rPr>
      <w:rFonts w:ascii="Calibri" w:hAnsi="Calibri" w:cs="Calibri"/>
      <w:color w:val="000000"/>
      <w:sz w:val="24"/>
      <w:szCs w:val="24"/>
      <w:lang w:val="en-GB"/>
    </w:rPr>
  </w:style>
  <w:style w:type="character" w:styleId="Accentuation">
    <w:name w:val="Emphasis"/>
    <w:basedOn w:val="Policepardfaut"/>
    <w:uiPriority w:val="20"/>
    <w:qFormat/>
    <w:rsid w:val="00A41FC4"/>
    <w:rPr>
      <w:i/>
      <w:iCs/>
    </w:rPr>
  </w:style>
  <w:style w:type="character" w:customStyle="1" w:styleId="Titre4Car">
    <w:name w:val="Titre 4 Car"/>
    <w:basedOn w:val="Policepardfaut"/>
    <w:link w:val="Titre4"/>
    <w:uiPriority w:val="9"/>
    <w:semiHidden/>
    <w:rsid w:val="00334897"/>
    <w:rPr>
      <w:rFonts w:asciiTheme="majorHAnsi" w:eastAsiaTheme="majorEastAsia" w:hAnsiTheme="majorHAnsi" w:cstheme="majorBidi"/>
      <w:i/>
      <w:iCs/>
      <w:color w:val="365F91" w:themeColor="accent1" w:themeShade="BF"/>
    </w:rPr>
  </w:style>
  <w:style w:type="character" w:customStyle="1" w:styleId="source">
    <w:name w:val="source"/>
    <w:basedOn w:val="Policepardfaut"/>
    <w:rsid w:val="00334897"/>
  </w:style>
  <w:style w:type="character" w:styleId="Marquedecommentaire">
    <w:name w:val="annotation reference"/>
    <w:basedOn w:val="Policepardfaut"/>
    <w:uiPriority w:val="99"/>
    <w:semiHidden/>
    <w:unhideWhenUsed/>
    <w:rsid w:val="00D04C7F"/>
    <w:rPr>
      <w:sz w:val="16"/>
      <w:szCs w:val="16"/>
    </w:rPr>
  </w:style>
  <w:style w:type="paragraph" w:styleId="Commentaire">
    <w:name w:val="annotation text"/>
    <w:basedOn w:val="Normal"/>
    <w:link w:val="CommentaireCar"/>
    <w:uiPriority w:val="99"/>
    <w:unhideWhenUsed/>
    <w:rsid w:val="00D04C7F"/>
    <w:pPr>
      <w:spacing w:line="240" w:lineRule="auto"/>
    </w:pPr>
    <w:rPr>
      <w:sz w:val="20"/>
      <w:szCs w:val="20"/>
    </w:rPr>
  </w:style>
  <w:style w:type="character" w:customStyle="1" w:styleId="CommentaireCar">
    <w:name w:val="Commentaire Car"/>
    <w:basedOn w:val="Policepardfaut"/>
    <w:link w:val="Commentaire"/>
    <w:uiPriority w:val="99"/>
    <w:rsid w:val="00D04C7F"/>
    <w:rPr>
      <w:sz w:val="20"/>
      <w:szCs w:val="20"/>
    </w:rPr>
  </w:style>
  <w:style w:type="paragraph" w:styleId="Objetducommentaire">
    <w:name w:val="annotation subject"/>
    <w:basedOn w:val="Commentaire"/>
    <w:next w:val="Commentaire"/>
    <w:link w:val="ObjetducommentaireCar"/>
    <w:uiPriority w:val="99"/>
    <w:semiHidden/>
    <w:unhideWhenUsed/>
    <w:rsid w:val="00D04C7F"/>
    <w:rPr>
      <w:b/>
      <w:bCs/>
    </w:rPr>
  </w:style>
  <w:style w:type="character" w:customStyle="1" w:styleId="ObjetducommentaireCar">
    <w:name w:val="Objet du commentaire Car"/>
    <w:basedOn w:val="CommentaireCar"/>
    <w:link w:val="Objetducommentaire"/>
    <w:uiPriority w:val="99"/>
    <w:semiHidden/>
    <w:rsid w:val="00D04C7F"/>
    <w:rPr>
      <w:b/>
      <w:bCs/>
      <w:sz w:val="20"/>
      <w:szCs w:val="20"/>
    </w:rPr>
  </w:style>
  <w:style w:type="character" w:styleId="Mentionnonrsolue">
    <w:name w:val="Unresolved Mention"/>
    <w:basedOn w:val="Policepardfaut"/>
    <w:uiPriority w:val="99"/>
    <w:semiHidden/>
    <w:unhideWhenUsed/>
    <w:rsid w:val="00206C48"/>
    <w:rPr>
      <w:color w:val="605E5C"/>
      <w:shd w:val="clear" w:color="auto" w:fill="E1DFDD"/>
    </w:rPr>
  </w:style>
  <w:style w:type="paragraph" w:styleId="Pieddepage">
    <w:name w:val="footer"/>
    <w:basedOn w:val="Normal"/>
    <w:link w:val="PieddepageCar"/>
    <w:uiPriority w:val="99"/>
    <w:unhideWhenUsed/>
    <w:rsid w:val="006A3AB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A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9131">
      <w:bodyDiv w:val="1"/>
      <w:marLeft w:val="0"/>
      <w:marRight w:val="0"/>
      <w:marTop w:val="0"/>
      <w:marBottom w:val="0"/>
      <w:divBdr>
        <w:top w:val="none" w:sz="0" w:space="0" w:color="auto"/>
        <w:left w:val="none" w:sz="0" w:space="0" w:color="auto"/>
        <w:bottom w:val="none" w:sz="0" w:space="0" w:color="auto"/>
        <w:right w:val="none" w:sz="0" w:space="0" w:color="auto"/>
      </w:divBdr>
      <w:divsChild>
        <w:div w:id="2111386515">
          <w:marLeft w:val="0"/>
          <w:marRight w:val="0"/>
          <w:marTop w:val="15"/>
          <w:marBottom w:val="0"/>
          <w:divBdr>
            <w:top w:val="single" w:sz="48" w:space="0" w:color="auto"/>
            <w:left w:val="single" w:sz="48" w:space="0" w:color="auto"/>
            <w:bottom w:val="single" w:sz="48" w:space="0" w:color="auto"/>
            <w:right w:val="single" w:sz="48" w:space="0" w:color="auto"/>
          </w:divBdr>
          <w:divsChild>
            <w:div w:id="2326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83429">
      <w:bodyDiv w:val="1"/>
      <w:marLeft w:val="0"/>
      <w:marRight w:val="0"/>
      <w:marTop w:val="0"/>
      <w:marBottom w:val="0"/>
      <w:divBdr>
        <w:top w:val="none" w:sz="0" w:space="0" w:color="auto"/>
        <w:left w:val="none" w:sz="0" w:space="0" w:color="auto"/>
        <w:bottom w:val="none" w:sz="0" w:space="0" w:color="auto"/>
        <w:right w:val="none" w:sz="0" w:space="0" w:color="auto"/>
      </w:divBdr>
    </w:div>
    <w:div w:id="16226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lex.wallonie.be/eli/loi-decret/2008/11/06/200820457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uria.europa.eu/juris/document/document.jsf?text=&amp;docid=277412&amp;pageIndex=0&amp;doclang=fr&amp;mode=lst&amp;dir=&amp;occ=first&amp;part=1&amp;cid=222317" TargetMode="External"/><Relationship Id="rId2" Type="http://schemas.openxmlformats.org/officeDocument/2006/relationships/hyperlink" Target="https://www.wallonie.be/fr/acteurs-et-institutions/wallonie/autres-acteurs-publics-de-la-wallonie/operateur-de-transport-de-wallonie-otw" TargetMode="External"/><Relationship Id="rId1" Type="http://schemas.openxmlformats.org/officeDocument/2006/relationships/hyperlink" Target="http://www.jurid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DC143-C344-4247-A42F-C65F7CBB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10065</Words>
  <Characters>55363</Characters>
  <Application>Microsoft Office Word</Application>
  <DocSecurity>0</DocSecurity>
  <Lines>461</Lines>
  <Paragraphs>130</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65298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Fraiture Edwige</dc:creator>
  <cp:lastModifiedBy>Maréchal Denis</cp:lastModifiedBy>
  <cp:revision>3</cp:revision>
  <cp:lastPrinted>2015-11-10T09:25:00Z</cp:lastPrinted>
  <dcterms:created xsi:type="dcterms:W3CDTF">2023-11-23T17:18:00Z</dcterms:created>
  <dcterms:modified xsi:type="dcterms:W3CDTF">2024-01-03T09:42:00Z</dcterms:modified>
</cp:coreProperties>
</file>