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2254"/>
        <w:gridCol w:w="2254"/>
        <w:gridCol w:w="2254"/>
        <w:gridCol w:w="2254"/>
      </w:tblGrid>
      <w:tr w:rsidR="000E3B52" w14:paraId="50369FD0" w14:textId="77777777" w:rsidTr="000E3B52">
        <w:tc>
          <w:tcPr>
            <w:tcW w:w="9016" w:type="dxa"/>
            <w:gridSpan w:val="4"/>
            <w:shd w:val="clear" w:color="auto" w:fill="BDD6EE" w:themeFill="accent1" w:themeFillTint="66"/>
          </w:tcPr>
          <w:p w14:paraId="50369FCD" w14:textId="77777777" w:rsidR="000E3B52" w:rsidRDefault="000E3B52" w:rsidP="000E3B52">
            <w:pPr>
              <w:jc w:val="center"/>
              <w:rPr>
                <w:b/>
                <w:sz w:val="24"/>
                <w:szCs w:val="24"/>
              </w:rPr>
            </w:pPr>
          </w:p>
          <w:p w14:paraId="50369FCE" w14:textId="77777777" w:rsidR="000E3B52" w:rsidRPr="00C15C60" w:rsidRDefault="00C15C60" w:rsidP="000E3B52">
            <w:pPr>
              <w:jc w:val="center"/>
              <w:rPr>
                <w:b/>
                <w:sz w:val="28"/>
                <w:szCs w:val="28"/>
              </w:rPr>
            </w:pPr>
            <w:r>
              <w:rPr>
                <w:b/>
                <w:sz w:val="28"/>
                <w:szCs w:val="28"/>
              </w:rPr>
              <w:t>VREDEGERECHT</w:t>
            </w:r>
            <w:r w:rsidR="000E3B52" w:rsidRPr="00C15C60">
              <w:rPr>
                <w:b/>
                <w:sz w:val="28"/>
                <w:szCs w:val="28"/>
              </w:rPr>
              <w:t xml:space="preserve"> van het kanton HALLE</w:t>
            </w:r>
          </w:p>
          <w:p w14:paraId="50369FCF" w14:textId="77777777" w:rsidR="000E3B52" w:rsidRDefault="000E3B52"/>
        </w:tc>
      </w:tr>
      <w:tr w:rsidR="000E3B52" w14:paraId="50369FD8" w14:textId="77777777" w:rsidTr="000E3B52">
        <w:tc>
          <w:tcPr>
            <w:tcW w:w="2254" w:type="dxa"/>
          </w:tcPr>
          <w:p w14:paraId="50369FD1" w14:textId="77777777" w:rsidR="00034849" w:rsidRDefault="00034849"/>
          <w:p w14:paraId="50369FD2" w14:textId="77777777" w:rsidR="000E3B52" w:rsidRDefault="000E3B52">
            <w:r>
              <w:t>Rolnummer</w:t>
            </w:r>
          </w:p>
          <w:p w14:paraId="50369FD3" w14:textId="77777777" w:rsidR="00034849" w:rsidRDefault="00034849"/>
        </w:tc>
        <w:tc>
          <w:tcPr>
            <w:tcW w:w="2254" w:type="dxa"/>
          </w:tcPr>
          <w:p w14:paraId="50369FD4" w14:textId="77777777" w:rsidR="000E3B52" w:rsidRDefault="000E3B52"/>
        </w:tc>
        <w:tc>
          <w:tcPr>
            <w:tcW w:w="2254" w:type="dxa"/>
          </w:tcPr>
          <w:p w14:paraId="50369FD5" w14:textId="77777777" w:rsidR="00034849" w:rsidRDefault="00034849"/>
          <w:p w14:paraId="50369FD6" w14:textId="77777777" w:rsidR="000E3B52" w:rsidRDefault="000E3B52">
            <w:r>
              <w:t>Rep.nr.</w:t>
            </w:r>
          </w:p>
        </w:tc>
        <w:tc>
          <w:tcPr>
            <w:tcW w:w="2254" w:type="dxa"/>
          </w:tcPr>
          <w:p w14:paraId="50369FD7" w14:textId="77777777" w:rsidR="000E3B52" w:rsidRDefault="000E3B52"/>
        </w:tc>
      </w:tr>
    </w:tbl>
    <w:p w14:paraId="50369FD9" w14:textId="77777777" w:rsidR="004C121F" w:rsidRDefault="004C121F" w:rsidP="004C121F"/>
    <w:tbl>
      <w:tblPr>
        <w:tblStyle w:val="Tabelraster"/>
        <w:tblW w:w="0" w:type="auto"/>
        <w:tblLook w:val="04A0" w:firstRow="1" w:lastRow="0" w:firstColumn="1" w:lastColumn="0" w:noHBand="0" w:noVBand="1"/>
      </w:tblPr>
      <w:tblGrid>
        <w:gridCol w:w="8936"/>
      </w:tblGrid>
      <w:tr w:rsidR="004C121F" w14:paraId="50369FDC" w14:textId="77777777" w:rsidTr="00F626B7">
        <w:trPr>
          <w:trHeight w:val="1413"/>
        </w:trPr>
        <w:tc>
          <w:tcPr>
            <w:tcW w:w="9016" w:type="dxa"/>
            <w:tcBorders>
              <w:top w:val="single" w:sz="36" w:space="0" w:color="auto"/>
              <w:left w:val="single" w:sz="36" w:space="0" w:color="auto"/>
              <w:bottom w:val="single" w:sz="36" w:space="0" w:color="auto"/>
              <w:right w:val="single" w:sz="36" w:space="0" w:color="auto"/>
            </w:tcBorders>
            <w:shd w:val="pct10" w:color="auto" w:fill="5B9BD5" w:themeFill="accent1"/>
          </w:tcPr>
          <w:p w14:paraId="50369FDA" w14:textId="77777777" w:rsidR="004C121F" w:rsidRDefault="004C121F" w:rsidP="007A13DA"/>
          <w:p w14:paraId="50369FDB" w14:textId="77777777" w:rsidR="004C121F" w:rsidRPr="00F626B7" w:rsidRDefault="00F626B7" w:rsidP="00F626B7">
            <w:pPr>
              <w:pStyle w:val="Kop1"/>
              <w:numPr>
                <w:ilvl w:val="0"/>
                <w:numId w:val="0"/>
              </w:numPr>
              <w:tabs>
                <w:tab w:val="left" w:pos="0"/>
              </w:tabs>
              <w:rPr>
                <w:rFonts w:asciiTheme="minorHAnsi" w:hAnsiTheme="minorHAnsi" w:cstheme="minorHAnsi"/>
                <w:sz w:val="36"/>
                <w:u w:val="none"/>
                <w:lang w:val="nl-BE"/>
              </w:rPr>
            </w:pPr>
            <w:r w:rsidRPr="000E3B52">
              <w:rPr>
                <w:rFonts w:asciiTheme="minorHAnsi" w:hAnsiTheme="minorHAnsi" w:cstheme="minorHAnsi"/>
                <w:sz w:val="36"/>
                <w:u w:val="none"/>
                <w:lang w:val="nl-BE"/>
              </w:rPr>
              <w:t>AKKOORD VOLGENS ART. 747 § 1 GER.W. &amp;    BESCHIKKING DAGBEPALING</w:t>
            </w:r>
          </w:p>
        </w:tc>
      </w:tr>
    </w:tbl>
    <w:p w14:paraId="50369FDD" w14:textId="77777777" w:rsidR="004C121F" w:rsidRDefault="004C121F" w:rsidP="004C121F"/>
    <w:tbl>
      <w:tblPr>
        <w:tblStyle w:val="Tabelraster"/>
        <w:tblW w:w="9016"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18"/>
        <w:gridCol w:w="2671"/>
        <w:gridCol w:w="6309"/>
        <w:gridCol w:w="18"/>
      </w:tblGrid>
      <w:tr w:rsidR="005B33A0" w14:paraId="50369FE1" w14:textId="77777777" w:rsidTr="007A02B1">
        <w:trPr>
          <w:gridBefore w:val="1"/>
          <w:gridAfter w:val="1"/>
          <w:wBefore w:w="18" w:type="dxa"/>
          <w:wAfter w:w="18" w:type="dxa"/>
        </w:trPr>
        <w:tc>
          <w:tcPr>
            <w:tcW w:w="8980" w:type="dxa"/>
            <w:gridSpan w:val="2"/>
            <w:shd w:val="pct5" w:color="9CC2E5" w:themeColor="accent1" w:themeTint="99" w:fill="9CC2E5" w:themeFill="accent1" w:themeFillTint="99"/>
          </w:tcPr>
          <w:p w14:paraId="50369FDE" w14:textId="77777777" w:rsidR="007A02B1" w:rsidRDefault="000C0E50" w:rsidP="00034849">
            <w:pPr>
              <w:tabs>
                <w:tab w:val="left" w:pos="3216"/>
              </w:tabs>
            </w:pPr>
            <w:r>
              <w:tab/>
            </w:r>
          </w:p>
          <w:p w14:paraId="50369FDF" w14:textId="77777777" w:rsidR="005B33A0" w:rsidRPr="002A24E3" w:rsidRDefault="00034849" w:rsidP="00034849">
            <w:pPr>
              <w:tabs>
                <w:tab w:val="left" w:pos="3216"/>
              </w:tabs>
              <w:rPr>
                <w:b/>
                <w:sz w:val="24"/>
                <w:szCs w:val="24"/>
              </w:rPr>
            </w:pPr>
            <w:r>
              <w:rPr>
                <w:b/>
                <w:sz w:val="24"/>
                <w:szCs w:val="24"/>
              </w:rPr>
              <w:t xml:space="preserve">Eisende partijen </w:t>
            </w:r>
          </w:p>
          <w:p w14:paraId="50369FE0" w14:textId="77777777" w:rsidR="005B33A0" w:rsidRDefault="005B33A0"/>
        </w:tc>
      </w:tr>
      <w:tr w:rsidR="002D3459" w14:paraId="50369FE6" w14:textId="77777777" w:rsidTr="007A0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14:paraId="50369FE2" w14:textId="77777777" w:rsidR="002D3459" w:rsidRDefault="002D3459" w:rsidP="004D77D5">
            <w:pPr>
              <w:pBdr>
                <w:bar w:val="single" w:sz="12" w:color="auto"/>
              </w:pBdr>
            </w:pPr>
          </w:p>
          <w:p w14:paraId="50369FE3" w14:textId="77777777" w:rsidR="002D3459" w:rsidRDefault="007A02B1" w:rsidP="004D77D5">
            <w:pPr>
              <w:pBdr>
                <w:bar w:val="single" w:sz="12" w:color="auto"/>
              </w:pBdr>
            </w:pPr>
            <w:r>
              <w:t xml:space="preserve">Naam </w:t>
            </w:r>
          </w:p>
          <w:p w14:paraId="50369FE4" w14:textId="77777777" w:rsidR="002D3459" w:rsidRDefault="002D3459" w:rsidP="004D77D5">
            <w:pPr>
              <w:pBdr>
                <w:bar w:val="single" w:sz="12" w:color="auto"/>
              </w:pBdr>
            </w:pPr>
          </w:p>
        </w:tc>
        <w:tc>
          <w:tcPr>
            <w:tcW w:w="6327" w:type="dxa"/>
            <w:gridSpan w:val="2"/>
          </w:tcPr>
          <w:p w14:paraId="50369FE5" w14:textId="77777777" w:rsidR="002D3459" w:rsidRDefault="002D3459" w:rsidP="004D77D5"/>
        </w:tc>
      </w:tr>
      <w:tr w:rsidR="002D3459" w14:paraId="50369FEC" w14:textId="77777777" w:rsidTr="007A0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14:paraId="50369FE7" w14:textId="77777777" w:rsidR="002D3459" w:rsidRDefault="002D3459" w:rsidP="004D77D5">
            <w:pPr>
              <w:pBdr>
                <w:bar w:val="single" w:sz="12" w:color="auto"/>
              </w:pBdr>
            </w:pPr>
          </w:p>
          <w:p w14:paraId="50369FE8" w14:textId="77777777" w:rsidR="002D3459" w:rsidRDefault="007A02B1" w:rsidP="004D77D5">
            <w:pPr>
              <w:pBdr>
                <w:bar w:val="single" w:sz="12" w:color="auto"/>
              </w:pBdr>
            </w:pPr>
            <w:r>
              <w:t>Met als raadsman</w:t>
            </w:r>
          </w:p>
          <w:p w14:paraId="50369FE9" w14:textId="77777777" w:rsidR="002D3459" w:rsidRDefault="002D3459" w:rsidP="004D77D5">
            <w:pPr>
              <w:pBdr>
                <w:bar w:val="single" w:sz="12" w:color="auto"/>
              </w:pBdr>
            </w:pPr>
          </w:p>
        </w:tc>
        <w:tc>
          <w:tcPr>
            <w:tcW w:w="6327" w:type="dxa"/>
            <w:gridSpan w:val="2"/>
          </w:tcPr>
          <w:p w14:paraId="50369FEA" w14:textId="77777777" w:rsidR="002D3459" w:rsidRDefault="002D3459" w:rsidP="004D77D5"/>
          <w:p w14:paraId="50369FEB" w14:textId="77777777" w:rsidR="007A02B1" w:rsidRDefault="007A02B1" w:rsidP="004D77D5">
            <w:r>
              <w:t>Mr.</w:t>
            </w:r>
          </w:p>
        </w:tc>
      </w:tr>
    </w:tbl>
    <w:p w14:paraId="50369FED" w14:textId="77777777" w:rsidR="007A02B1" w:rsidRDefault="007A02B1" w:rsidP="007A02B1"/>
    <w:tbl>
      <w:tblPr>
        <w:tblStyle w:val="Tabelraster"/>
        <w:tblW w:w="9016"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18"/>
        <w:gridCol w:w="2671"/>
        <w:gridCol w:w="6309"/>
        <w:gridCol w:w="18"/>
      </w:tblGrid>
      <w:tr w:rsidR="007A02B1" w14:paraId="50369FF1" w14:textId="77777777" w:rsidTr="007A13DA">
        <w:trPr>
          <w:gridBefore w:val="1"/>
          <w:gridAfter w:val="1"/>
          <w:wBefore w:w="18" w:type="dxa"/>
          <w:wAfter w:w="18" w:type="dxa"/>
        </w:trPr>
        <w:tc>
          <w:tcPr>
            <w:tcW w:w="8980" w:type="dxa"/>
            <w:gridSpan w:val="2"/>
            <w:shd w:val="pct5" w:color="9CC2E5" w:themeColor="accent1" w:themeTint="99" w:fill="9CC2E5" w:themeFill="accent1" w:themeFillTint="99"/>
          </w:tcPr>
          <w:p w14:paraId="50369FEE" w14:textId="77777777" w:rsidR="007A02B1" w:rsidRDefault="007A02B1" w:rsidP="007A13DA">
            <w:pPr>
              <w:tabs>
                <w:tab w:val="left" w:pos="3216"/>
              </w:tabs>
            </w:pPr>
            <w:r>
              <w:tab/>
            </w:r>
          </w:p>
          <w:p w14:paraId="50369FEF" w14:textId="77777777" w:rsidR="007A02B1" w:rsidRPr="002A24E3" w:rsidRDefault="007A02B1" w:rsidP="007A13DA">
            <w:pPr>
              <w:tabs>
                <w:tab w:val="left" w:pos="3216"/>
              </w:tabs>
              <w:rPr>
                <w:b/>
                <w:sz w:val="24"/>
                <w:szCs w:val="24"/>
              </w:rPr>
            </w:pPr>
            <w:r>
              <w:rPr>
                <w:b/>
                <w:sz w:val="24"/>
                <w:szCs w:val="24"/>
              </w:rPr>
              <w:t xml:space="preserve">Verwerende partijen </w:t>
            </w:r>
          </w:p>
          <w:p w14:paraId="50369FF0" w14:textId="77777777" w:rsidR="007A02B1" w:rsidRDefault="007A02B1" w:rsidP="007A13DA"/>
        </w:tc>
      </w:tr>
      <w:tr w:rsidR="007A02B1" w14:paraId="50369FF6" w14:textId="77777777" w:rsidTr="007A1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14:paraId="50369FF2" w14:textId="77777777" w:rsidR="007A02B1" w:rsidRDefault="007A02B1" w:rsidP="007A13DA">
            <w:pPr>
              <w:pBdr>
                <w:bar w:val="single" w:sz="12" w:color="auto"/>
              </w:pBdr>
            </w:pPr>
          </w:p>
          <w:p w14:paraId="50369FF3" w14:textId="77777777" w:rsidR="007A02B1" w:rsidRDefault="007A02B1" w:rsidP="007A13DA">
            <w:pPr>
              <w:pBdr>
                <w:bar w:val="single" w:sz="12" w:color="auto"/>
              </w:pBdr>
            </w:pPr>
            <w:r>
              <w:t xml:space="preserve">Naam </w:t>
            </w:r>
          </w:p>
          <w:p w14:paraId="50369FF4" w14:textId="77777777" w:rsidR="007A02B1" w:rsidRDefault="007A02B1" w:rsidP="007A13DA">
            <w:pPr>
              <w:pBdr>
                <w:bar w:val="single" w:sz="12" w:color="auto"/>
              </w:pBdr>
            </w:pPr>
          </w:p>
        </w:tc>
        <w:tc>
          <w:tcPr>
            <w:tcW w:w="6327" w:type="dxa"/>
            <w:gridSpan w:val="2"/>
          </w:tcPr>
          <w:p w14:paraId="50369FF5" w14:textId="77777777" w:rsidR="007A02B1" w:rsidRDefault="007A02B1" w:rsidP="007A13DA"/>
        </w:tc>
      </w:tr>
      <w:tr w:rsidR="007A02B1" w14:paraId="50369FFC" w14:textId="77777777" w:rsidTr="007A1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14:paraId="50369FF7" w14:textId="77777777" w:rsidR="007A02B1" w:rsidRDefault="007A02B1" w:rsidP="007A13DA">
            <w:pPr>
              <w:pBdr>
                <w:bar w:val="single" w:sz="12" w:color="auto"/>
              </w:pBdr>
            </w:pPr>
          </w:p>
          <w:p w14:paraId="50369FF8" w14:textId="77777777" w:rsidR="007A02B1" w:rsidRDefault="007A02B1" w:rsidP="007A13DA">
            <w:pPr>
              <w:pBdr>
                <w:bar w:val="single" w:sz="12" w:color="auto"/>
              </w:pBdr>
            </w:pPr>
            <w:r>
              <w:t>Met als raadsman</w:t>
            </w:r>
          </w:p>
          <w:p w14:paraId="50369FF9" w14:textId="77777777" w:rsidR="007A02B1" w:rsidRDefault="007A02B1" w:rsidP="007A13DA">
            <w:pPr>
              <w:pBdr>
                <w:bar w:val="single" w:sz="12" w:color="auto"/>
              </w:pBdr>
            </w:pPr>
          </w:p>
        </w:tc>
        <w:tc>
          <w:tcPr>
            <w:tcW w:w="6327" w:type="dxa"/>
            <w:gridSpan w:val="2"/>
          </w:tcPr>
          <w:p w14:paraId="50369FFA" w14:textId="77777777" w:rsidR="007A02B1" w:rsidRDefault="007A02B1" w:rsidP="007A13DA"/>
          <w:p w14:paraId="50369FFB" w14:textId="77777777" w:rsidR="007A02B1" w:rsidRDefault="007A02B1" w:rsidP="007A13DA">
            <w:r>
              <w:t>Mr.</w:t>
            </w:r>
          </w:p>
        </w:tc>
      </w:tr>
    </w:tbl>
    <w:p w14:paraId="50369FFD" w14:textId="77777777" w:rsidR="007A02B1" w:rsidRDefault="007A02B1" w:rsidP="007A02B1"/>
    <w:tbl>
      <w:tblPr>
        <w:tblStyle w:val="Tabelraster"/>
        <w:tblW w:w="9016"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18"/>
        <w:gridCol w:w="2671"/>
        <w:gridCol w:w="6309"/>
        <w:gridCol w:w="18"/>
      </w:tblGrid>
      <w:tr w:rsidR="007A02B1" w14:paraId="5036A001" w14:textId="77777777" w:rsidTr="007A13DA">
        <w:trPr>
          <w:gridBefore w:val="1"/>
          <w:gridAfter w:val="1"/>
          <w:wBefore w:w="18" w:type="dxa"/>
          <w:wAfter w:w="18" w:type="dxa"/>
        </w:trPr>
        <w:tc>
          <w:tcPr>
            <w:tcW w:w="8980" w:type="dxa"/>
            <w:gridSpan w:val="2"/>
            <w:shd w:val="pct5" w:color="9CC2E5" w:themeColor="accent1" w:themeTint="99" w:fill="9CC2E5" w:themeFill="accent1" w:themeFillTint="99"/>
          </w:tcPr>
          <w:p w14:paraId="50369FFE" w14:textId="77777777" w:rsidR="007A02B1" w:rsidRDefault="007A02B1" w:rsidP="007A13DA">
            <w:pPr>
              <w:tabs>
                <w:tab w:val="left" w:pos="3216"/>
              </w:tabs>
            </w:pPr>
            <w:r>
              <w:tab/>
            </w:r>
          </w:p>
          <w:p w14:paraId="50369FFF" w14:textId="77777777" w:rsidR="007A02B1" w:rsidRPr="002A24E3" w:rsidRDefault="007A02B1" w:rsidP="007A13DA">
            <w:pPr>
              <w:tabs>
                <w:tab w:val="left" w:pos="3216"/>
              </w:tabs>
              <w:rPr>
                <w:b/>
                <w:sz w:val="24"/>
                <w:szCs w:val="24"/>
              </w:rPr>
            </w:pPr>
            <w:r>
              <w:rPr>
                <w:b/>
                <w:sz w:val="24"/>
                <w:szCs w:val="24"/>
              </w:rPr>
              <w:t>Tusse</w:t>
            </w:r>
            <w:r w:rsidR="00F626B7">
              <w:rPr>
                <w:b/>
                <w:sz w:val="24"/>
                <w:szCs w:val="24"/>
              </w:rPr>
              <w:t>n</w:t>
            </w:r>
            <w:r>
              <w:rPr>
                <w:b/>
                <w:sz w:val="24"/>
                <w:szCs w:val="24"/>
              </w:rPr>
              <w:t xml:space="preserve">komende partijen </w:t>
            </w:r>
          </w:p>
          <w:p w14:paraId="5036A000" w14:textId="77777777" w:rsidR="007A02B1" w:rsidRDefault="007A02B1" w:rsidP="007A13DA"/>
        </w:tc>
      </w:tr>
      <w:tr w:rsidR="007A02B1" w14:paraId="5036A006" w14:textId="77777777" w:rsidTr="007A1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14:paraId="5036A002" w14:textId="77777777" w:rsidR="007A02B1" w:rsidRDefault="007A02B1" w:rsidP="007A13DA">
            <w:pPr>
              <w:pBdr>
                <w:bar w:val="single" w:sz="12" w:color="auto"/>
              </w:pBdr>
            </w:pPr>
          </w:p>
          <w:p w14:paraId="5036A003" w14:textId="77777777" w:rsidR="007A02B1" w:rsidRDefault="007A02B1" w:rsidP="007A13DA">
            <w:pPr>
              <w:pBdr>
                <w:bar w:val="single" w:sz="12" w:color="auto"/>
              </w:pBdr>
            </w:pPr>
            <w:r>
              <w:t xml:space="preserve">Naam </w:t>
            </w:r>
          </w:p>
          <w:p w14:paraId="5036A004" w14:textId="77777777" w:rsidR="007A02B1" w:rsidRDefault="007A02B1" w:rsidP="007A13DA">
            <w:pPr>
              <w:pBdr>
                <w:bar w:val="single" w:sz="12" w:color="auto"/>
              </w:pBdr>
            </w:pPr>
          </w:p>
        </w:tc>
        <w:tc>
          <w:tcPr>
            <w:tcW w:w="6327" w:type="dxa"/>
            <w:gridSpan w:val="2"/>
          </w:tcPr>
          <w:p w14:paraId="5036A005" w14:textId="77777777" w:rsidR="007A02B1" w:rsidRDefault="007A02B1" w:rsidP="007A13DA"/>
        </w:tc>
      </w:tr>
      <w:tr w:rsidR="007A02B1" w14:paraId="5036A00C" w14:textId="77777777" w:rsidTr="007A1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89" w:type="dxa"/>
            <w:gridSpan w:val="2"/>
            <w:shd w:val="pct5" w:color="DEEAF6" w:themeColor="accent1" w:themeTint="33" w:fill="DEEAF6" w:themeFill="accent1" w:themeFillTint="33"/>
          </w:tcPr>
          <w:p w14:paraId="5036A007" w14:textId="77777777" w:rsidR="007A02B1" w:rsidRDefault="007A02B1" w:rsidP="007A13DA">
            <w:pPr>
              <w:pBdr>
                <w:bar w:val="single" w:sz="12" w:color="auto"/>
              </w:pBdr>
            </w:pPr>
          </w:p>
          <w:p w14:paraId="5036A008" w14:textId="77777777" w:rsidR="007A02B1" w:rsidRDefault="007A02B1" w:rsidP="007A13DA">
            <w:pPr>
              <w:pBdr>
                <w:bar w:val="single" w:sz="12" w:color="auto"/>
              </w:pBdr>
            </w:pPr>
            <w:r>
              <w:t>Met als raadsman</w:t>
            </w:r>
          </w:p>
          <w:p w14:paraId="5036A009" w14:textId="77777777" w:rsidR="007A02B1" w:rsidRDefault="007A02B1" w:rsidP="007A13DA">
            <w:pPr>
              <w:pBdr>
                <w:bar w:val="single" w:sz="12" w:color="auto"/>
              </w:pBdr>
            </w:pPr>
          </w:p>
        </w:tc>
        <w:tc>
          <w:tcPr>
            <w:tcW w:w="6327" w:type="dxa"/>
            <w:gridSpan w:val="2"/>
          </w:tcPr>
          <w:p w14:paraId="5036A00A" w14:textId="77777777" w:rsidR="007A02B1" w:rsidRDefault="007A02B1" w:rsidP="007A13DA"/>
          <w:p w14:paraId="5036A00B" w14:textId="77777777" w:rsidR="007A02B1" w:rsidRDefault="007A02B1" w:rsidP="007A13DA">
            <w:r>
              <w:t>Mr.</w:t>
            </w:r>
          </w:p>
        </w:tc>
      </w:tr>
    </w:tbl>
    <w:p w14:paraId="5036A00D" w14:textId="77777777" w:rsidR="007A02B1" w:rsidRDefault="007A02B1" w:rsidP="007A02B1"/>
    <w:p w14:paraId="5036A00E" w14:textId="77777777" w:rsidR="007A02B1" w:rsidRDefault="007A02B1"/>
    <w:p w14:paraId="5036A00F" w14:textId="77777777" w:rsidR="002112D2" w:rsidRDefault="002112D2"/>
    <w:p w14:paraId="5036A010" w14:textId="77777777" w:rsidR="002112D2" w:rsidRPr="002246CA" w:rsidRDefault="002112D2" w:rsidP="002112D2">
      <w:pPr>
        <w:jc w:val="both"/>
        <w:rPr>
          <w:rFonts w:cstheme="minorHAnsi"/>
          <w:sz w:val="24"/>
        </w:rPr>
      </w:pPr>
      <w:r w:rsidRPr="002246CA">
        <w:rPr>
          <w:rFonts w:cstheme="minorHAnsi"/>
          <w:sz w:val="24"/>
        </w:rPr>
        <w:lastRenderedPageBreak/>
        <w:t>Op de openbare terechtzitting van ………………………….worden de partijen in kennis gesteld van de vroegste datum waarop de rechtsdag kan worden bepaald.</w:t>
      </w:r>
    </w:p>
    <w:p w14:paraId="5036A011" w14:textId="77777777" w:rsidR="002112D2" w:rsidRDefault="002112D2" w:rsidP="002112D2">
      <w:pPr>
        <w:jc w:val="both"/>
        <w:rPr>
          <w:rFonts w:cstheme="minorHAnsi"/>
          <w:sz w:val="24"/>
        </w:rPr>
      </w:pPr>
      <w:r w:rsidRPr="002246CA">
        <w:rPr>
          <w:rFonts w:cstheme="minorHAnsi"/>
          <w:sz w:val="24"/>
        </w:rPr>
        <w:t>Partijen komen onderling volgende conclusietermij</w:t>
      </w:r>
      <w:r>
        <w:rPr>
          <w:rFonts w:cstheme="minorHAnsi"/>
          <w:sz w:val="24"/>
        </w:rPr>
        <w:t>n</w:t>
      </w:r>
      <w:r w:rsidRPr="002246CA">
        <w:rPr>
          <w:rFonts w:cstheme="minorHAnsi"/>
          <w:sz w:val="24"/>
        </w:rPr>
        <w:t>en overeen en verbinden zich ertoe hun conclusie neer te leggen ter griffie en op dezelfde dag toe te zenden aan de andere partijen, uiterlijk op volgende data:</w:t>
      </w:r>
    </w:p>
    <w:p w14:paraId="5036A012" w14:textId="77777777" w:rsidR="002112D2" w:rsidRPr="002246CA" w:rsidRDefault="002112D2" w:rsidP="002112D2">
      <w:pPr>
        <w:jc w:val="both"/>
        <w:rPr>
          <w:rFonts w:cstheme="minorHAnsi"/>
          <w:sz w:val="24"/>
        </w:rPr>
      </w:pPr>
    </w:p>
    <w:tbl>
      <w:tblPr>
        <w:tblStyle w:val="Tabelraster"/>
        <w:tblW w:w="0" w:type="auto"/>
        <w:tblLook w:val="04A0" w:firstRow="1" w:lastRow="0" w:firstColumn="1" w:lastColumn="0" w:noHBand="0" w:noVBand="1"/>
      </w:tblPr>
      <w:tblGrid>
        <w:gridCol w:w="3005"/>
        <w:gridCol w:w="3005"/>
        <w:gridCol w:w="3006"/>
      </w:tblGrid>
      <w:tr w:rsidR="002112D2" w14:paraId="5036A016" w14:textId="77777777" w:rsidTr="002112D2">
        <w:tc>
          <w:tcPr>
            <w:tcW w:w="3005" w:type="dxa"/>
            <w:shd w:val="clear" w:color="auto" w:fill="BDD6EE" w:themeFill="accent1" w:themeFillTint="66"/>
          </w:tcPr>
          <w:p w14:paraId="5036A013" w14:textId="77777777" w:rsidR="002112D2" w:rsidRPr="002112D2" w:rsidRDefault="002112D2" w:rsidP="002112D2">
            <w:pPr>
              <w:jc w:val="both"/>
              <w:rPr>
                <w:rFonts w:cstheme="minorHAnsi"/>
                <w:b/>
                <w:sz w:val="24"/>
              </w:rPr>
            </w:pPr>
            <w:r w:rsidRPr="002246CA">
              <w:rPr>
                <w:rFonts w:cstheme="minorHAnsi"/>
                <w:b/>
                <w:sz w:val="24"/>
              </w:rPr>
              <w:t>Verwerende partij(en)</w:t>
            </w:r>
          </w:p>
        </w:tc>
        <w:tc>
          <w:tcPr>
            <w:tcW w:w="3005" w:type="dxa"/>
            <w:shd w:val="clear" w:color="auto" w:fill="BDD6EE" w:themeFill="accent1" w:themeFillTint="66"/>
          </w:tcPr>
          <w:p w14:paraId="5036A014" w14:textId="77777777" w:rsidR="002112D2" w:rsidRPr="002112D2" w:rsidRDefault="002112D2" w:rsidP="002112D2">
            <w:pPr>
              <w:jc w:val="both"/>
              <w:rPr>
                <w:rFonts w:cstheme="minorHAnsi"/>
                <w:b/>
                <w:sz w:val="24"/>
              </w:rPr>
            </w:pPr>
            <w:r w:rsidRPr="002246CA">
              <w:rPr>
                <w:rFonts w:cstheme="minorHAnsi"/>
                <w:b/>
                <w:sz w:val="24"/>
              </w:rPr>
              <w:t>Eisende partij(en)</w:t>
            </w:r>
          </w:p>
        </w:tc>
        <w:tc>
          <w:tcPr>
            <w:tcW w:w="3006" w:type="dxa"/>
            <w:shd w:val="clear" w:color="auto" w:fill="BDD6EE" w:themeFill="accent1" w:themeFillTint="66"/>
          </w:tcPr>
          <w:p w14:paraId="5036A015" w14:textId="77777777" w:rsidR="002112D2" w:rsidRPr="002112D2" w:rsidRDefault="002112D2" w:rsidP="002112D2">
            <w:pPr>
              <w:jc w:val="both"/>
              <w:rPr>
                <w:rFonts w:cstheme="minorHAnsi"/>
                <w:b/>
                <w:sz w:val="24"/>
              </w:rPr>
            </w:pPr>
            <w:r w:rsidRPr="002246CA">
              <w:rPr>
                <w:rFonts w:cstheme="minorHAnsi"/>
                <w:b/>
                <w:sz w:val="24"/>
              </w:rPr>
              <w:t>Tussenkomende partij</w:t>
            </w:r>
            <w:r>
              <w:rPr>
                <w:rFonts w:cstheme="minorHAnsi"/>
                <w:b/>
                <w:sz w:val="24"/>
              </w:rPr>
              <w:t>(en)</w:t>
            </w:r>
          </w:p>
        </w:tc>
      </w:tr>
      <w:tr w:rsidR="002112D2" w14:paraId="5036A01B" w14:textId="77777777" w:rsidTr="002112D2">
        <w:tc>
          <w:tcPr>
            <w:tcW w:w="3005" w:type="dxa"/>
          </w:tcPr>
          <w:p w14:paraId="5036A017" w14:textId="77777777" w:rsidR="002112D2" w:rsidRDefault="002112D2" w:rsidP="002112D2">
            <w:pPr>
              <w:jc w:val="both"/>
              <w:rPr>
                <w:rFonts w:cstheme="minorHAnsi"/>
                <w:sz w:val="24"/>
              </w:rPr>
            </w:pPr>
          </w:p>
          <w:p w14:paraId="5036A018" w14:textId="77777777" w:rsidR="002112D2" w:rsidRDefault="002112D2" w:rsidP="002112D2">
            <w:pPr>
              <w:jc w:val="both"/>
              <w:rPr>
                <w:rFonts w:cstheme="minorHAnsi"/>
                <w:sz w:val="24"/>
              </w:rPr>
            </w:pPr>
          </w:p>
        </w:tc>
        <w:tc>
          <w:tcPr>
            <w:tcW w:w="3005" w:type="dxa"/>
          </w:tcPr>
          <w:p w14:paraId="5036A019" w14:textId="77777777" w:rsidR="002112D2" w:rsidRDefault="002112D2" w:rsidP="002112D2">
            <w:pPr>
              <w:jc w:val="both"/>
              <w:rPr>
                <w:rFonts w:cstheme="minorHAnsi"/>
                <w:sz w:val="24"/>
              </w:rPr>
            </w:pPr>
          </w:p>
        </w:tc>
        <w:tc>
          <w:tcPr>
            <w:tcW w:w="3006" w:type="dxa"/>
          </w:tcPr>
          <w:p w14:paraId="5036A01A" w14:textId="77777777" w:rsidR="002112D2" w:rsidRDefault="002112D2" w:rsidP="002112D2">
            <w:pPr>
              <w:jc w:val="both"/>
              <w:rPr>
                <w:rFonts w:cstheme="minorHAnsi"/>
                <w:sz w:val="24"/>
              </w:rPr>
            </w:pPr>
          </w:p>
        </w:tc>
      </w:tr>
      <w:tr w:rsidR="002112D2" w14:paraId="5036A01F" w14:textId="77777777" w:rsidTr="00C15C60">
        <w:tc>
          <w:tcPr>
            <w:tcW w:w="3005" w:type="dxa"/>
            <w:shd w:val="clear" w:color="auto" w:fill="DEEAF6" w:themeFill="accent1" w:themeFillTint="33"/>
          </w:tcPr>
          <w:p w14:paraId="5036A01C" w14:textId="77777777" w:rsidR="002112D2" w:rsidRDefault="002112D2" w:rsidP="002112D2">
            <w:pPr>
              <w:jc w:val="both"/>
              <w:rPr>
                <w:rFonts w:cstheme="minorHAnsi"/>
                <w:sz w:val="24"/>
              </w:rPr>
            </w:pPr>
            <w:r>
              <w:rPr>
                <w:rFonts w:cstheme="minorHAnsi"/>
                <w:sz w:val="24"/>
              </w:rPr>
              <w:t>Antwoordconclusie</w:t>
            </w:r>
          </w:p>
        </w:tc>
        <w:tc>
          <w:tcPr>
            <w:tcW w:w="3005" w:type="dxa"/>
            <w:shd w:val="clear" w:color="auto" w:fill="DEEAF6" w:themeFill="accent1" w:themeFillTint="33"/>
          </w:tcPr>
          <w:p w14:paraId="5036A01D" w14:textId="77777777" w:rsidR="002112D2" w:rsidRDefault="002112D2" w:rsidP="002112D2">
            <w:pPr>
              <w:jc w:val="both"/>
              <w:rPr>
                <w:rFonts w:cstheme="minorHAnsi"/>
                <w:sz w:val="24"/>
              </w:rPr>
            </w:pPr>
            <w:r>
              <w:rPr>
                <w:rFonts w:cstheme="minorHAnsi"/>
                <w:sz w:val="24"/>
              </w:rPr>
              <w:t>Antwoordconclusie</w:t>
            </w:r>
          </w:p>
        </w:tc>
        <w:tc>
          <w:tcPr>
            <w:tcW w:w="3006" w:type="dxa"/>
            <w:shd w:val="clear" w:color="auto" w:fill="DEEAF6" w:themeFill="accent1" w:themeFillTint="33"/>
          </w:tcPr>
          <w:p w14:paraId="5036A01E" w14:textId="77777777" w:rsidR="002112D2" w:rsidRDefault="002112D2" w:rsidP="002112D2">
            <w:pPr>
              <w:jc w:val="both"/>
              <w:rPr>
                <w:rFonts w:cstheme="minorHAnsi"/>
                <w:sz w:val="24"/>
              </w:rPr>
            </w:pPr>
            <w:r>
              <w:rPr>
                <w:rFonts w:cstheme="minorHAnsi"/>
                <w:sz w:val="24"/>
              </w:rPr>
              <w:t>Antwoordconclusie</w:t>
            </w:r>
          </w:p>
        </w:tc>
      </w:tr>
      <w:tr w:rsidR="002112D2" w14:paraId="5036A024" w14:textId="77777777" w:rsidTr="002112D2">
        <w:tc>
          <w:tcPr>
            <w:tcW w:w="3005" w:type="dxa"/>
          </w:tcPr>
          <w:p w14:paraId="5036A020" w14:textId="77777777" w:rsidR="002112D2" w:rsidRDefault="002112D2" w:rsidP="002112D2">
            <w:pPr>
              <w:jc w:val="both"/>
              <w:rPr>
                <w:rFonts w:cstheme="minorHAnsi"/>
                <w:sz w:val="24"/>
              </w:rPr>
            </w:pPr>
          </w:p>
          <w:p w14:paraId="5036A021" w14:textId="77777777" w:rsidR="002112D2" w:rsidRDefault="002112D2" w:rsidP="002112D2">
            <w:pPr>
              <w:jc w:val="both"/>
              <w:rPr>
                <w:rFonts w:cstheme="minorHAnsi"/>
                <w:sz w:val="24"/>
              </w:rPr>
            </w:pPr>
          </w:p>
        </w:tc>
        <w:tc>
          <w:tcPr>
            <w:tcW w:w="3005" w:type="dxa"/>
          </w:tcPr>
          <w:p w14:paraId="5036A022" w14:textId="77777777" w:rsidR="002112D2" w:rsidRDefault="002112D2" w:rsidP="002112D2">
            <w:pPr>
              <w:jc w:val="both"/>
              <w:rPr>
                <w:rFonts w:cstheme="minorHAnsi"/>
                <w:sz w:val="24"/>
              </w:rPr>
            </w:pPr>
          </w:p>
        </w:tc>
        <w:tc>
          <w:tcPr>
            <w:tcW w:w="3006" w:type="dxa"/>
          </w:tcPr>
          <w:p w14:paraId="5036A023" w14:textId="77777777" w:rsidR="002112D2" w:rsidRDefault="002112D2" w:rsidP="002112D2">
            <w:pPr>
              <w:jc w:val="both"/>
              <w:rPr>
                <w:rFonts w:cstheme="minorHAnsi"/>
                <w:sz w:val="24"/>
              </w:rPr>
            </w:pPr>
          </w:p>
        </w:tc>
      </w:tr>
      <w:tr w:rsidR="002112D2" w14:paraId="5036A028" w14:textId="77777777" w:rsidTr="00C15C60">
        <w:tc>
          <w:tcPr>
            <w:tcW w:w="3005" w:type="dxa"/>
            <w:shd w:val="clear" w:color="auto" w:fill="DEEAF6" w:themeFill="accent1" w:themeFillTint="33"/>
          </w:tcPr>
          <w:p w14:paraId="5036A025" w14:textId="77777777" w:rsidR="002112D2" w:rsidRDefault="002112D2" w:rsidP="002112D2">
            <w:pPr>
              <w:jc w:val="both"/>
              <w:rPr>
                <w:rFonts w:cstheme="minorHAnsi"/>
                <w:sz w:val="24"/>
              </w:rPr>
            </w:pPr>
            <w:r>
              <w:rPr>
                <w:rFonts w:cstheme="minorHAnsi"/>
                <w:sz w:val="24"/>
              </w:rPr>
              <w:t>Andere</w:t>
            </w:r>
          </w:p>
        </w:tc>
        <w:tc>
          <w:tcPr>
            <w:tcW w:w="3005" w:type="dxa"/>
            <w:shd w:val="clear" w:color="auto" w:fill="DEEAF6" w:themeFill="accent1" w:themeFillTint="33"/>
          </w:tcPr>
          <w:p w14:paraId="5036A026" w14:textId="77777777" w:rsidR="002112D2" w:rsidRDefault="002112D2" w:rsidP="002112D2">
            <w:pPr>
              <w:jc w:val="both"/>
              <w:rPr>
                <w:rFonts w:cstheme="minorHAnsi"/>
                <w:sz w:val="24"/>
              </w:rPr>
            </w:pPr>
            <w:r>
              <w:rPr>
                <w:rFonts w:cstheme="minorHAnsi"/>
                <w:sz w:val="24"/>
              </w:rPr>
              <w:t>Andere</w:t>
            </w:r>
          </w:p>
        </w:tc>
        <w:tc>
          <w:tcPr>
            <w:tcW w:w="3006" w:type="dxa"/>
            <w:shd w:val="clear" w:color="auto" w:fill="DEEAF6" w:themeFill="accent1" w:themeFillTint="33"/>
          </w:tcPr>
          <w:p w14:paraId="5036A027" w14:textId="77777777" w:rsidR="002112D2" w:rsidRDefault="002112D2" w:rsidP="002112D2">
            <w:pPr>
              <w:jc w:val="both"/>
              <w:rPr>
                <w:rFonts w:cstheme="minorHAnsi"/>
                <w:sz w:val="24"/>
              </w:rPr>
            </w:pPr>
            <w:r>
              <w:rPr>
                <w:rFonts w:cstheme="minorHAnsi"/>
                <w:sz w:val="24"/>
              </w:rPr>
              <w:t>Andere</w:t>
            </w:r>
          </w:p>
        </w:tc>
      </w:tr>
      <w:tr w:rsidR="002112D2" w14:paraId="5036A02D" w14:textId="77777777" w:rsidTr="002112D2">
        <w:tc>
          <w:tcPr>
            <w:tcW w:w="3005" w:type="dxa"/>
          </w:tcPr>
          <w:p w14:paraId="5036A029" w14:textId="77777777" w:rsidR="002112D2" w:rsidRDefault="002112D2" w:rsidP="002112D2">
            <w:pPr>
              <w:jc w:val="both"/>
              <w:rPr>
                <w:rFonts w:cstheme="minorHAnsi"/>
                <w:sz w:val="24"/>
              </w:rPr>
            </w:pPr>
          </w:p>
          <w:p w14:paraId="5036A02A" w14:textId="77777777" w:rsidR="002112D2" w:rsidRDefault="002112D2" w:rsidP="002112D2">
            <w:pPr>
              <w:jc w:val="both"/>
              <w:rPr>
                <w:rFonts w:cstheme="minorHAnsi"/>
                <w:sz w:val="24"/>
              </w:rPr>
            </w:pPr>
          </w:p>
        </w:tc>
        <w:tc>
          <w:tcPr>
            <w:tcW w:w="3005" w:type="dxa"/>
          </w:tcPr>
          <w:p w14:paraId="5036A02B" w14:textId="77777777" w:rsidR="002112D2" w:rsidRDefault="002112D2" w:rsidP="002112D2">
            <w:pPr>
              <w:jc w:val="both"/>
              <w:rPr>
                <w:rFonts w:cstheme="minorHAnsi"/>
                <w:sz w:val="24"/>
              </w:rPr>
            </w:pPr>
          </w:p>
        </w:tc>
        <w:tc>
          <w:tcPr>
            <w:tcW w:w="3006" w:type="dxa"/>
          </w:tcPr>
          <w:p w14:paraId="5036A02C" w14:textId="77777777" w:rsidR="002112D2" w:rsidRDefault="002112D2" w:rsidP="002112D2">
            <w:pPr>
              <w:jc w:val="both"/>
              <w:rPr>
                <w:rFonts w:cstheme="minorHAnsi"/>
                <w:sz w:val="24"/>
              </w:rPr>
            </w:pPr>
          </w:p>
        </w:tc>
      </w:tr>
    </w:tbl>
    <w:p w14:paraId="5036A02E" w14:textId="77777777" w:rsidR="002112D2" w:rsidRPr="002246CA" w:rsidRDefault="002112D2" w:rsidP="002112D2">
      <w:pPr>
        <w:jc w:val="both"/>
        <w:rPr>
          <w:rFonts w:cstheme="minorHAnsi"/>
          <w:sz w:val="24"/>
        </w:rPr>
      </w:pPr>
    </w:p>
    <w:p w14:paraId="5036A02F" w14:textId="77777777" w:rsidR="002112D2" w:rsidRPr="002246CA" w:rsidRDefault="002112D2" w:rsidP="002112D2">
      <w:pPr>
        <w:jc w:val="both"/>
        <w:rPr>
          <w:rFonts w:cstheme="minorHAnsi"/>
          <w:sz w:val="24"/>
        </w:rPr>
      </w:pPr>
      <w:r w:rsidRPr="002246CA">
        <w:rPr>
          <w:rFonts w:cstheme="minorHAnsi"/>
          <w:sz w:val="24"/>
        </w:rPr>
        <w:t>Handtekeningen:</w:t>
      </w:r>
    </w:p>
    <w:p w14:paraId="5036A030" w14:textId="77777777" w:rsidR="002112D2" w:rsidRPr="002246CA" w:rsidRDefault="002112D2" w:rsidP="002112D2">
      <w:pPr>
        <w:rPr>
          <w:rFonts w:cstheme="minorHAnsi"/>
          <w:sz w:val="24"/>
        </w:rPr>
      </w:pPr>
      <w:r w:rsidRPr="002246CA">
        <w:rPr>
          <w:rFonts w:cstheme="minorHAnsi"/>
          <w:sz w:val="24"/>
        </w:rPr>
        <w:t xml:space="preserve">Eisende partij(en)               </w:t>
      </w:r>
      <w:r>
        <w:rPr>
          <w:rFonts w:cstheme="minorHAnsi"/>
          <w:sz w:val="24"/>
        </w:rPr>
        <w:tab/>
        <w:t xml:space="preserve">   </w:t>
      </w:r>
      <w:r w:rsidRPr="002246CA">
        <w:rPr>
          <w:rFonts w:cstheme="minorHAnsi"/>
          <w:sz w:val="24"/>
        </w:rPr>
        <w:t xml:space="preserve">Verwerende partij(en)        </w:t>
      </w:r>
      <w:r>
        <w:rPr>
          <w:rFonts w:cstheme="minorHAnsi"/>
          <w:sz w:val="24"/>
        </w:rPr>
        <w:tab/>
      </w:r>
      <w:r>
        <w:rPr>
          <w:rFonts w:cstheme="minorHAnsi"/>
          <w:sz w:val="24"/>
        </w:rPr>
        <w:tab/>
      </w:r>
      <w:r w:rsidRPr="002246CA">
        <w:rPr>
          <w:rFonts w:cstheme="minorHAnsi"/>
          <w:sz w:val="24"/>
        </w:rPr>
        <w:t xml:space="preserve"> Tussenkomende partij(en)</w:t>
      </w:r>
    </w:p>
    <w:p w14:paraId="5036A031" w14:textId="77777777" w:rsidR="002112D2" w:rsidRDefault="002112D2"/>
    <w:p w14:paraId="5036A032" w14:textId="77777777" w:rsidR="00A42B43" w:rsidRDefault="00A42B43" w:rsidP="00A42B43"/>
    <w:tbl>
      <w:tblPr>
        <w:tblStyle w:val="Tabelraster"/>
        <w:tblW w:w="89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A42B43" w14:paraId="5036A036" w14:textId="77777777" w:rsidTr="00A42B43">
        <w:tc>
          <w:tcPr>
            <w:tcW w:w="8980" w:type="dxa"/>
            <w:shd w:val="pct5" w:color="9CC2E5" w:themeColor="accent1" w:themeTint="99" w:fill="9CC2E5" w:themeFill="accent1" w:themeFillTint="99"/>
          </w:tcPr>
          <w:p w14:paraId="5036A033" w14:textId="77777777" w:rsidR="00A42B43" w:rsidRDefault="00A42B43" w:rsidP="007A13DA">
            <w:pPr>
              <w:tabs>
                <w:tab w:val="left" w:pos="3216"/>
              </w:tabs>
            </w:pPr>
            <w:r>
              <w:tab/>
            </w:r>
          </w:p>
          <w:p w14:paraId="5036A034" w14:textId="77777777" w:rsidR="00A42B43" w:rsidRPr="002A24E3" w:rsidRDefault="00A42B43" w:rsidP="00A42B43">
            <w:pPr>
              <w:tabs>
                <w:tab w:val="left" w:pos="3216"/>
              </w:tabs>
              <w:jc w:val="center"/>
              <w:rPr>
                <w:b/>
                <w:sz w:val="24"/>
                <w:szCs w:val="24"/>
              </w:rPr>
            </w:pPr>
            <w:r>
              <w:rPr>
                <w:b/>
                <w:sz w:val="24"/>
                <w:szCs w:val="24"/>
              </w:rPr>
              <w:t>BESLISSING</w:t>
            </w:r>
          </w:p>
          <w:p w14:paraId="5036A035" w14:textId="77777777" w:rsidR="00A42B43" w:rsidRDefault="00A42B43" w:rsidP="007A13DA"/>
        </w:tc>
      </w:tr>
    </w:tbl>
    <w:p w14:paraId="5036A037" w14:textId="77777777" w:rsidR="00A42B43" w:rsidRDefault="00A42B43" w:rsidP="00A42B43"/>
    <w:p w14:paraId="5036A038" w14:textId="77777777" w:rsidR="00A42B43" w:rsidRDefault="00A42B43" w:rsidP="00C15C60">
      <w:pPr>
        <w:spacing w:after="0"/>
        <w:jc w:val="both"/>
        <w:rPr>
          <w:rFonts w:cstheme="minorHAnsi"/>
          <w:sz w:val="24"/>
        </w:rPr>
      </w:pPr>
      <w:r w:rsidRPr="002246CA">
        <w:rPr>
          <w:rFonts w:cstheme="minorHAnsi"/>
          <w:sz w:val="24"/>
        </w:rPr>
        <w:t>Gelet op de wet van 15 juni 1935 op het gebruik der talen in gerechtszaken.</w:t>
      </w:r>
    </w:p>
    <w:p w14:paraId="5036A039" w14:textId="77777777" w:rsidR="00C15C60" w:rsidRPr="002246CA" w:rsidRDefault="00C15C60" w:rsidP="00C15C60">
      <w:pPr>
        <w:spacing w:after="0"/>
        <w:jc w:val="both"/>
        <w:rPr>
          <w:rFonts w:cstheme="minorHAnsi"/>
          <w:sz w:val="24"/>
        </w:rPr>
      </w:pPr>
    </w:p>
    <w:p w14:paraId="5036A03A" w14:textId="77777777" w:rsidR="00A42B43" w:rsidRDefault="00A42B43" w:rsidP="00C15C60">
      <w:pPr>
        <w:spacing w:after="0"/>
        <w:jc w:val="both"/>
        <w:rPr>
          <w:rFonts w:cstheme="minorHAnsi"/>
          <w:sz w:val="24"/>
        </w:rPr>
      </w:pPr>
      <w:r w:rsidRPr="002246CA">
        <w:rPr>
          <w:rFonts w:cstheme="minorHAnsi"/>
          <w:sz w:val="24"/>
        </w:rPr>
        <w:t>Bekrachtigt het akkoord van partijen tot toepassing van artikel 747 § 1 Gerechtelijk Wetboek volgens bovenstaand schema.</w:t>
      </w:r>
    </w:p>
    <w:p w14:paraId="5036A03B" w14:textId="77777777" w:rsidR="00C15C60" w:rsidRPr="002246CA" w:rsidRDefault="00C15C60" w:rsidP="00C15C60">
      <w:pPr>
        <w:spacing w:after="0"/>
        <w:jc w:val="both"/>
        <w:rPr>
          <w:rFonts w:cstheme="minorHAnsi"/>
          <w:sz w:val="24"/>
        </w:rPr>
      </w:pPr>
    </w:p>
    <w:p w14:paraId="5036A03C" w14:textId="77777777" w:rsidR="00A42B43" w:rsidRDefault="00A42B43" w:rsidP="00C15C60">
      <w:pPr>
        <w:spacing w:after="0"/>
        <w:jc w:val="both"/>
        <w:rPr>
          <w:rFonts w:cstheme="minorHAnsi"/>
          <w:sz w:val="24"/>
        </w:rPr>
      </w:pPr>
      <w:r w:rsidRPr="002246CA">
        <w:rPr>
          <w:rFonts w:cstheme="minorHAnsi"/>
          <w:sz w:val="24"/>
        </w:rPr>
        <w:t>V</w:t>
      </w:r>
      <w:r>
        <w:rPr>
          <w:rFonts w:cstheme="minorHAnsi"/>
          <w:sz w:val="24"/>
        </w:rPr>
        <w:t>estigt de aandacht van de proces</w:t>
      </w:r>
      <w:r w:rsidRPr="002246CA">
        <w:rPr>
          <w:rFonts w:cstheme="minorHAnsi"/>
          <w:sz w:val="24"/>
        </w:rPr>
        <w:t>partijen op de bepaling in artikel 748bis Gerechtelijk Wetboek dat, behoudens de daarin besproken uitzonderingen, de laatste conclusies van een partij hoe dan ook syntheseconclusies zijn welke eerdere conclusie en, desgevallend, de gedinginleidende akte vervangen.</w:t>
      </w:r>
    </w:p>
    <w:p w14:paraId="5036A03D" w14:textId="77777777" w:rsidR="00C15C60" w:rsidRPr="002246CA" w:rsidRDefault="00C15C60" w:rsidP="00C15C60">
      <w:pPr>
        <w:spacing w:after="0"/>
        <w:jc w:val="both"/>
        <w:rPr>
          <w:rFonts w:cstheme="minorHAnsi"/>
          <w:sz w:val="24"/>
        </w:rPr>
      </w:pPr>
    </w:p>
    <w:p w14:paraId="5036A03E" w14:textId="77777777" w:rsidR="00A42B43" w:rsidRDefault="00A42B43" w:rsidP="00C15C60">
      <w:pPr>
        <w:spacing w:after="0"/>
        <w:jc w:val="both"/>
        <w:rPr>
          <w:rFonts w:cstheme="minorHAnsi"/>
          <w:sz w:val="24"/>
        </w:rPr>
      </w:pPr>
      <w:r w:rsidRPr="002246CA">
        <w:rPr>
          <w:rFonts w:cstheme="minorHAnsi"/>
          <w:sz w:val="24"/>
        </w:rPr>
        <w:t xml:space="preserve">Herinnert de </w:t>
      </w:r>
      <w:r>
        <w:rPr>
          <w:rFonts w:cstheme="minorHAnsi"/>
          <w:sz w:val="24"/>
        </w:rPr>
        <w:t>proces</w:t>
      </w:r>
      <w:r w:rsidRPr="002246CA">
        <w:rPr>
          <w:rFonts w:cstheme="minorHAnsi"/>
          <w:sz w:val="24"/>
        </w:rPr>
        <w:t>partijen eraan dat onverminderd de toepassing van de uitzonderingen bedoeld in artikel 748, § 1 en § 2 Gerechtelijk Wetboek, de conclusies die ter griffie zijn neergelegd of aan de andere partij gezonden na het verstrijken van de termijnen hiervoor vastgesteld, ambtshalve uit de debatten worden geweerd. Op de gestelde rechtsdag kan de meest gerede partij een op tegenspraak gewezen vonnis vorderen.</w:t>
      </w:r>
    </w:p>
    <w:p w14:paraId="5036A03F" w14:textId="77777777" w:rsidR="00A42B43" w:rsidRDefault="00A42B43" w:rsidP="00A42B43">
      <w:pPr>
        <w:jc w:val="both"/>
        <w:rPr>
          <w:rFonts w:cstheme="minorHAnsi"/>
          <w:sz w:val="24"/>
        </w:rPr>
      </w:pPr>
    </w:p>
    <w:p w14:paraId="5036A040" w14:textId="77777777" w:rsidR="00A42B43" w:rsidRPr="002246CA" w:rsidRDefault="00A42B43" w:rsidP="00A42B43">
      <w:pPr>
        <w:jc w:val="both"/>
        <w:rPr>
          <w:rFonts w:cstheme="minorHAnsi"/>
          <w:sz w:val="24"/>
        </w:rPr>
      </w:pPr>
      <w:r>
        <w:rPr>
          <w:rFonts w:cstheme="minorHAnsi"/>
          <w:sz w:val="24"/>
        </w:rPr>
        <w:lastRenderedPageBreak/>
        <w:t xml:space="preserve">Verzoekt de partijen of hun raadslieden hun dossiers met de door hen aangewende en correct meegedeelde stukken ter griffie neer te leggen ten minste vijftien dagen voorafgaand aan de datum waarop de zaak zal worden behandeld (artikel 756 Ger.W.). </w:t>
      </w:r>
      <w:r w:rsidRPr="00CF711C">
        <w:rPr>
          <w:rFonts w:cstheme="minorHAnsi"/>
          <w:sz w:val="24"/>
          <w:highlight w:val="lightGray"/>
        </w:rPr>
        <w:t>Stukken digitaal neergelegd ter griffie overeenkomstig artikel 32ter Ger.W. worden op verzoek van de Rechtbank bij voorkeur eveneens in origineel neergelegd op de hierna vermelde openbare terechtzitting.</w:t>
      </w:r>
    </w:p>
    <w:p w14:paraId="5036A041" w14:textId="77777777" w:rsidR="00A42B43" w:rsidRDefault="00A42B43" w:rsidP="00A42B43">
      <w:pPr>
        <w:jc w:val="both"/>
        <w:rPr>
          <w:rFonts w:cstheme="minorHAnsi"/>
          <w:sz w:val="24"/>
        </w:rPr>
      </w:pPr>
    </w:p>
    <w:tbl>
      <w:tblPr>
        <w:tblStyle w:val="Tabelraster"/>
        <w:tblW w:w="0" w:type="auto"/>
        <w:tblLook w:val="04A0" w:firstRow="1" w:lastRow="0" w:firstColumn="1" w:lastColumn="0" w:noHBand="0" w:noVBand="1"/>
      </w:tblPr>
      <w:tblGrid>
        <w:gridCol w:w="3256"/>
        <w:gridCol w:w="4110"/>
        <w:gridCol w:w="1650"/>
      </w:tblGrid>
      <w:tr w:rsidR="00C15C60" w14:paraId="5036A049" w14:textId="77777777" w:rsidTr="00C15C60">
        <w:tc>
          <w:tcPr>
            <w:tcW w:w="3256" w:type="dxa"/>
            <w:shd w:val="clear" w:color="auto" w:fill="BDD6EE" w:themeFill="accent1" w:themeFillTint="66"/>
          </w:tcPr>
          <w:p w14:paraId="5036A042" w14:textId="77777777" w:rsidR="00C15C60" w:rsidRDefault="00C15C60" w:rsidP="00A42B43">
            <w:pPr>
              <w:jc w:val="both"/>
              <w:rPr>
                <w:rFonts w:cstheme="minorHAnsi"/>
                <w:sz w:val="24"/>
              </w:rPr>
            </w:pPr>
          </w:p>
          <w:p w14:paraId="5036A043" w14:textId="77777777" w:rsidR="00C15C60" w:rsidRDefault="00C15C60" w:rsidP="00A42B43">
            <w:pPr>
              <w:jc w:val="both"/>
              <w:rPr>
                <w:rFonts w:cstheme="minorHAnsi"/>
                <w:sz w:val="24"/>
              </w:rPr>
            </w:pPr>
            <w:r>
              <w:rPr>
                <w:rFonts w:cstheme="minorHAnsi"/>
                <w:sz w:val="24"/>
              </w:rPr>
              <w:t>De rechtsdag wordt bepaald op</w:t>
            </w:r>
          </w:p>
          <w:p w14:paraId="5036A044" w14:textId="77777777" w:rsidR="00C15C60" w:rsidRDefault="00C15C60" w:rsidP="00A42B43">
            <w:pPr>
              <w:jc w:val="both"/>
              <w:rPr>
                <w:rFonts w:cstheme="minorHAnsi"/>
                <w:sz w:val="24"/>
              </w:rPr>
            </w:pPr>
          </w:p>
        </w:tc>
        <w:tc>
          <w:tcPr>
            <w:tcW w:w="4110" w:type="dxa"/>
          </w:tcPr>
          <w:p w14:paraId="5036A045" w14:textId="77777777" w:rsidR="00C15C60" w:rsidRDefault="00C15C60" w:rsidP="00A42B43">
            <w:pPr>
              <w:jc w:val="both"/>
              <w:rPr>
                <w:rFonts w:cstheme="minorHAnsi"/>
                <w:sz w:val="24"/>
              </w:rPr>
            </w:pPr>
          </w:p>
          <w:p w14:paraId="5036A046" w14:textId="77777777" w:rsidR="00C15C60" w:rsidRPr="00C15C60" w:rsidRDefault="00C15C60" w:rsidP="00A42B43">
            <w:pPr>
              <w:jc w:val="both"/>
              <w:rPr>
                <w:rFonts w:cstheme="minorHAnsi"/>
                <w:b/>
                <w:sz w:val="24"/>
              </w:rPr>
            </w:pPr>
            <w:r w:rsidRPr="00C15C60">
              <w:rPr>
                <w:rFonts w:cstheme="minorHAnsi"/>
                <w:b/>
                <w:sz w:val="24"/>
              </w:rPr>
              <w:t>Dinsdag</w:t>
            </w:r>
          </w:p>
        </w:tc>
        <w:tc>
          <w:tcPr>
            <w:tcW w:w="1650" w:type="dxa"/>
          </w:tcPr>
          <w:p w14:paraId="5036A047" w14:textId="77777777" w:rsidR="00C15C60" w:rsidRDefault="00C15C60" w:rsidP="00A42B43">
            <w:pPr>
              <w:jc w:val="both"/>
              <w:rPr>
                <w:rFonts w:cstheme="minorHAnsi"/>
                <w:sz w:val="24"/>
              </w:rPr>
            </w:pPr>
          </w:p>
          <w:p w14:paraId="5036A048" w14:textId="77777777" w:rsidR="00C15C60" w:rsidRDefault="00C15C60" w:rsidP="00A42B43">
            <w:pPr>
              <w:jc w:val="both"/>
              <w:rPr>
                <w:rFonts w:cstheme="minorHAnsi"/>
                <w:sz w:val="24"/>
              </w:rPr>
            </w:pPr>
            <w:r>
              <w:rPr>
                <w:rFonts w:cstheme="minorHAnsi"/>
                <w:sz w:val="24"/>
              </w:rPr>
              <w:t xml:space="preserve">om </w:t>
            </w:r>
            <w:r w:rsidRPr="00C15C60">
              <w:rPr>
                <w:rFonts w:cstheme="minorHAnsi"/>
                <w:sz w:val="24"/>
                <w:highlight w:val="yellow"/>
              </w:rPr>
              <w:t>11.30 uur</w:t>
            </w:r>
          </w:p>
        </w:tc>
      </w:tr>
    </w:tbl>
    <w:p w14:paraId="5036A04A" w14:textId="77777777" w:rsidR="00C15C60" w:rsidRDefault="00C15C60" w:rsidP="00A42B43">
      <w:pPr>
        <w:jc w:val="both"/>
        <w:rPr>
          <w:rFonts w:cstheme="minorHAnsi"/>
          <w:sz w:val="24"/>
        </w:rPr>
      </w:pPr>
    </w:p>
    <w:p w14:paraId="5036A04B" w14:textId="77777777" w:rsidR="00C15C60" w:rsidRDefault="00C15C60" w:rsidP="00A42B43">
      <w:pPr>
        <w:jc w:val="both"/>
        <w:rPr>
          <w:rFonts w:cstheme="minorHAnsi"/>
          <w:sz w:val="24"/>
        </w:rPr>
      </w:pPr>
    </w:p>
    <w:p w14:paraId="5036A04C" w14:textId="41FA9864" w:rsidR="00A42B43" w:rsidRPr="002246CA" w:rsidRDefault="00A42B43" w:rsidP="00A42B43">
      <w:pPr>
        <w:jc w:val="both"/>
        <w:rPr>
          <w:rFonts w:cstheme="minorHAnsi"/>
          <w:sz w:val="24"/>
        </w:rPr>
      </w:pPr>
      <w:r w:rsidRPr="002246CA">
        <w:rPr>
          <w:rFonts w:cstheme="minorHAnsi"/>
          <w:sz w:val="24"/>
        </w:rPr>
        <w:t xml:space="preserve">Aldus gewezen en uitgesproken in raadkamer van het vredegerecht van het kanton Halle op ………………………………., door An </w:t>
      </w:r>
      <w:r w:rsidR="009D1F34">
        <w:rPr>
          <w:rFonts w:cstheme="minorHAnsi"/>
          <w:sz w:val="24"/>
        </w:rPr>
        <w:t>Depuydt</w:t>
      </w:r>
      <w:r w:rsidRPr="002246CA">
        <w:rPr>
          <w:rFonts w:cstheme="minorHAnsi"/>
          <w:sz w:val="24"/>
        </w:rPr>
        <w:t>, vrederechter, bijgestaan door Dominique Monteyne, hoofdgriffier.</w:t>
      </w:r>
    </w:p>
    <w:p w14:paraId="5036A04D" w14:textId="77777777" w:rsidR="00A42B43" w:rsidRPr="002246CA" w:rsidRDefault="00A42B43" w:rsidP="00A42B43">
      <w:pPr>
        <w:jc w:val="both"/>
        <w:rPr>
          <w:rFonts w:cstheme="minorHAnsi"/>
          <w:sz w:val="24"/>
        </w:rPr>
      </w:pPr>
    </w:p>
    <w:p w14:paraId="5036A04E" w14:textId="77777777" w:rsidR="00A42B43" w:rsidRPr="002246CA" w:rsidRDefault="00A42B43" w:rsidP="00A42B43">
      <w:pPr>
        <w:jc w:val="both"/>
        <w:rPr>
          <w:rFonts w:cstheme="minorHAnsi"/>
          <w:sz w:val="24"/>
        </w:rPr>
      </w:pPr>
      <w:r w:rsidRPr="002246CA">
        <w:rPr>
          <w:rFonts w:cstheme="minorHAnsi"/>
          <w:sz w:val="24"/>
        </w:rPr>
        <w:t xml:space="preserve">De vrederechter tekent met de hoofdgriffier. </w:t>
      </w:r>
    </w:p>
    <w:p w14:paraId="5036A04F" w14:textId="77777777" w:rsidR="00A42B43" w:rsidRPr="002246CA" w:rsidRDefault="00A42B43" w:rsidP="00A42B43">
      <w:pPr>
        <w:jc w:val="both"/>
        <w:rPr>
          <w:rFonts w:cstheme="minorHAnsi"/>
          <w:sz w:val="24"/>
        </w:rPr>
      </w:pPr>
    </w:p>
    <w:p w14:paraId="5036A050" w14:textId="77777777" w:rsidR="00A42B43" w:rsidRPr="002246CA" w:rsidRDefault="00A42B43" w:rsidP="00A42B43">
      <w:pPr>
        <w:jc w:val="both"/>
        <w:rPr>
          <w:rFonts w:cstheme="minorHAnsi"/>
          <w:sz w:val="24"/>
        </w:rPr>
      </w:pPr>
      <w:r w:rsidRPr="002246CA">
        <w:rPr>
          <w:rFonts w:cstheme="minorHAnsi"/>
          <w:sz w:val="24"/>
        </w:rPr>
        <w:t>De hoofdgriffier,</w:t>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t>De  vrederechter,</w:t>
      </w:r>
    </w:p>
    <w:p w14:paraId="5036A051" w14:textId="77777777" w:rsidR="00A42B43" w:rsidRPr="002246CA" w:rsidRDefault="00A42B43" w:rsidP="00A42B43">
      <w:pPr>
        <w:jc w:val="both"/>
        <w:rPr>
          <w:rFonts w:cstheme="minorHAnsi"/>
          <w:sz w:val="24"/>
        </w:rPr>
      </w:pPr>
    </w:p>
    <w:p w14:paraId="5036A052" w14:textId="77777777" w:rsidR="00A42B43" w:rsidRPr="002246CA" w:rsidRDefault="00A42B43" w:rsidP="00A42B43">
      <w:pPr>
        <w:jc w:val="both"/>
        <w:rPr>
          <w:rFonts w:cstheme="minorHAnsi"/>
          <w:sz w:val="24"/>
        </w:rPr>
      </w:pPr>
    </w:p>
    <w:p w14:paraId="5036A053" w14:textId="77777777" w:rsidR="00A42B43" w:rsidRPr="002246CA" w:rsidRDefault="00A42B43" w:rsidP="00A42B43">
      <w:pPr>
        <w:jc w:val="both"/>
        <w:rPr>
          <w:rFonts w:cstheme="minorHAnsi"/>
          <w:sz w:val="24"/>
        </w:rPr>
      </w:pPr>
    </w:p>
    <w:p w14:paraId="5036A054" w14:textId="77777777" w:rsidR="00A42B43" w:rsidRPr="002246CA" w:rsidRDefault="00A42B43" w:rsidP="00A42B43">
      <w:pPr>
        <w:jc w:val="both"/>
        <w:rPr>
          <w:rFonts w:cstheme="minorHAnsi"/>
          <w:sz w:val="24"/>
        </w:rPr>
      </w:pPr>
    </w:p>
    <w:p w14:paraId="5036A055" w14:textId="77777777" w:rsidR="00A42B43" w:rsidRPr="002246CA" w:rsidRDefault="00A42B43" w:rsidP="00A42B43">
      <w:pPr>
        <w:jc w:val="both"/>
        <w:rPr>
          <w:rFonts w:cstheme="minorHAnsi"/>
          <w:sz w:val="24"/>
        </w:rPr>
      </w:pPr>
    </w:p>
    <w:p w14:paraId="5036A056" w14:textId="77777777" w:rsidR="00A42B43" w:rsidRPr="002246CA" w:rsidRDefault="00A42B43" w:rsidP="00A42B43">
      <w:pPr>
        <w:jc w:val="both"/>
        <w:rPr>
          <w:rFonts w:cstheme="minorHAnsi"/>
          <w:sz w:val="24"/>
        </w:rPr>
      </w:pPr>
    </w:p>
    <w:p w14:paraId="5036A057" w14:textId="7CBBBE17" w:rsidR="00A42B43" w:rsidRPr="002246CA" w:rsidRDefault="00A42B43" w:rsidP="00A42B43">
      <w:pPr>
        <w:jc w:val="both"/>
        <w:rPr>
          <w:rFonts w:cstheme="minorHAnsi"/>
          <w:sz w:val="24"/>
        </w:rPr>
      </w:pPr>
      <w:r w:rsidRPr="002246CA">
        <w:rPr>
          <w:rFonts w:cstheme="minorHAnsi"/>
          <w:sz w:val="24"/>
        </w:rPr>
        <w:t>Dominique Monteyne</w:t>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r>
      <w:r w:rsidRPr="002246CA">
        <w:rPr>
          <w:rFonts w:cstheme="minorHAnsi"/>
          <w:sz w:val="24"/>
        </w:rPr>
        <w:tab/>
        <w:t xml:space="preserve">                 An</w:t>
      </w:r>
      <w:r w:rsidR="009D1F34">
        <w:rPr>
          <w:rFonts w:cstheme="minorHAnsi"/>
          <w:sz w:val="24"/>
        </w:rPr>
        <w:t xml:space="preserve"> Depuydt</w:t>
      </w:r>
      <w:r w:rsidRPr="002246CA">
        <w:rPr>
          <w:rFonts w:cstheme="minorHAnsi"/>
          <w:sz w:val="24"/>
        </w:rPr>
        <w:t xml:space="preserve"> </w:t>
      </w:r>
    </w:p>
    <w:p w14:paraId="5036A058" w14:textId="77777777" w:rsidR="00A42B43" w:rsidRDefault="00A42B43"/>
    <w:sectPr w:rsidR="00A42B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F6AC" w14:textId="77777777" w:rsidR="00650EDB" w:rsidRDefault="00650EDB" w:rsidP="00B317BA">
      <w:pPr>
        <w:spacing w:after="0" w:line="240" w:lineRule="auto"/>
      </w:pPr>
      <w:r>
        <w:separator/>
      </w:r>
    </w:p>
  </w:endnote>
  <w:endnote w:type="continuationSeparator" w:id="0">
    <w:p w14:paraId="4A34BCA5" w14:textId="77777777" w:rsidR="00650EDB" w:rsidRDefault="00650EDB" w:rsidP="00B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DBA9" w14:textId="77777777" w:rsidR="00650EDB" w:rsidRDefault="00650EDB" w:rsidP="00B317BA">
      <w:pPr>
        <w:spacing w:after="0" w:line="240" w:lineRule="auto"/>
      </w:pPr>
      <w:r>
        <w:separator/>
      </w:r>
    </w:p>
  </w:footnote>
  <w:footnote w:type="continuationSeparator" w:id="0">
    <w:p w14:paraId="7D11CFB7" w14:textId="77777777" w:rsidR="00650EDB" w:rsidRDefault="00650EDB" w:rsidP="00B3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02"/>
        </w:tabs>
        <w:ind w:left="502" w:hanging="360"/>
      </w:pPr>
      <w:rPr>
        <w:rFonts w:ascii="Wingdings" w:hAnsi="Wingdings"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2D710A84"/>
    <w:multiLevelType w:val="hybridMultilevel"/>
    <w:tmpl w:val="F46A144A"/>
    <w:lvl w:ilvl="0" w:tplc="D192859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06D7169"/>
    <w:multiLevelType w:val="multilevel"/>
    <w:tmpl w:val="34E8349C"/>
    <w:lvl w:ilvl="0">
      <w:start w:val="1"/>
      <w:numFmt w:val="bullet"/>
      <w:pStyle w:val="Kop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135865">
    <w:abstractNumId w:val="0"/>
  </w:num>
  <w:num w:numId="2" w16cid:durableId="1083836433">
    <w:abstractNumId w:val="1"/>
  </w:num>
  <w:num w:numId="3" w16cid:durableId="1447381832">
    <w:abstractNumId w:val="2"/>
  </w:num>
  <w:num w:numId="4" w16cid:durableId="107219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26"/>
    <w:rsid w:val="0000028C"/>
    <w:rsid w:val="00032E7F"/>
    <w:rsid w:val="00034849"/>
    <w:rsid w:val="00085363"/>
    <w:rsid w:val="00085EB4"/>
    <w:rsid w:val="000C0E50"/>
    <w:rsid w:val="000E3B52"/>
    <w:rsid w:val="000F372F"/>
    <w:rsid w:val="00105C3A"/>
    <w:rsid w:val="001302A1"/>
    <w:rsid w:val="0013350E"/>
    <w:rsid w:val="00173096"/>
    <w:rsid w:val="001A4948"/>
    <w:rsid w:val="001C4133"/>
    <w:rsid w:val="001D40C4"/>
    <w:rsid w:val="001E1D0F"/>
    <w:rsid w:val="001E2E5B"/>
    <w:rsid w:val="002112D2"/>
    <w:rsid w:val="00226326"/>
    <w:rsid w:val="0023392B"/>
    <w:rsid w:val="00234E51"/>
    <w:rsid w:val="00256454"/>
    <w:rsid w:val="002A24E3"/>
    <w:rsid w:val="002B2ED6"/>
    <w:rsid w:val="002B784D"/>
    <w:rsid w:val="002D3459"/>
    <w:rsid w:val="002E42C0"/>
    <w:rsid w:val="00321FAB"/>
    <w:rsid w:val="0032689E"/>
    <w:rsid w:val="0033544A"/>
    <w:rsid w:val="003378D1"/>
    <w:rsid w:val="003402E3"/>
    <w:rsid w:val="00357916"/>
    <w:rsid w:val="0037398E"/>
    <w:rsid w:val="003A6B20"/>
    <w:rsid w:val="003A742C"/>
    <w:rsid w:val="004123CB"/>
    <w:rsid w:val="00453053"/>
    <w:rsid w:val="00474418"/>
    <w:rsid w:val="004B23E6"/>
    <w:rsid w:val="004B44C7"/>
    <w:rsid w:val="004B526F"/>
    <w:rsid w:val="004B7A35"/>
    <w:rsid w:val="004C121F"/>
    <w:rsid w:val="004F205F"/>
    <w:rsid w:val="00526227"/>
    <w:rsid w:val="00545937"/>
    <w:rsid w:val="0055079A"/>
    <w:rsid w:val="00584637"/>
    <w:rsid w:val="005A34E5"/>
    <w:rsid w:val="005B33A0"/>
    <w:rsid w:val="005B3E59"/>
    <w:rsid w:val="005C1FC2"/>
    <w:rsid w:val="005C5B04"/>
    <w:rsid w:val="005C5B2F"/>
    <w:rsid w:val="005E49F7"/>
    <w:rsid w:val="00622C18"/>
    <w:rsid w:val="00650EDB"/>
    <w:rsid w:val="00671E25"/>
    <w:rsid w:val="00684745"/>
    <w:rsid w:val="00694920"/>
    <w:rsid w:val="00695486"/>
    <w:rsid w:val="006B28D3"/>
    <w:rsid w:val="006B6AA5"/>
    <w:rsid w:val="006C35FE"/>
    <w:rsid w:val="006F6C9A"/>
    <w:rsid w:val="00710ED3"/>
    <w:rsid w:val="00726AF1"/>
    <w:rsid w:val="00732B3F"/>
    <w:rsid w:val="007633ED"/>
    <w:rsid w:val="007A02B1"/>
    <w:rsid w:val="007A3D7B"/>
    <w:rsid w:val="007A44B0"/>
    <w:rsid w:val="007B0A5C"/>
    <w:rsid w:val="007E7D61"/>
    <w:rsid w:val="0082217C"/>
    <w:rsid w:val="0087516C"/>
    <w:rsid w:val="00881CAD"/>
    <w:rsid w:val="008C269F"/>
    <w:rsid w:val="008E304C"/>
    <w:rsid w:val="008F33F1"/>
    <w:rsid w:val="00922DF0"/>
    <w:rsid w:val="009A540A"/>
    <w:rsid w:val="009C7090"/>
    <w:rsid w:val="009D1F34"/>
    <w:rsid w:val="00A07C5F"/>
    <w:rsid w:val="00A20CD3"/>
    <w:rsid w:val="00A24C84"/>
    <w:rsid w:val="00A42B43"/>
    <w:rsid w:val="00A52F0F"/>
    <w:rsid w:val="00A866BC"/>
    <w:rsid w:val="00AC6CEB"/>
    <w:rsid w:val="00B001E7"/>
    <w:rsid w:val="00B07FAA"/>
    <w:rsid w:val="00B317BA"/>
    <w:rsid w:val="00B372F8"/>
    <w:rsid w:val="00B4571C"/>
    <w:rsid w:val="00B67AED"/>
    <w:rsid w:val="00BD0D77"/>
    <w:rsid w:val="00C07AE7"/>
    <w:rsid w:val="00C15C60"/>
    <w:rsid w:val="00C725E4"/>
    <w:rsid w:val="00C920F4"/>
    <w:rsid w:val="00CB43FF"/>
    <w:rsid w:val="00CB4F37"/>
    <w:rsid w:val="00CD4147"/>
    <w:rsid w:val="00CF43FC"/>
    <w:rsid w:val="00D50C37"/>
    <w:rsid w:val="00D61F68"/>
    <w:rsid w:val="00D92F81"/>
    <w:rsid w:val="00D936A0"/>
    <w:rsid w:val="00D9527C"/>
    <w:rsid w:val="00DC12D4"/>
    <w:rsid w:val="00DE48D5"/>
    <w:rsid w:val="00E262AA"/>
    <w:rsid w:val="00EA1B56"/>
    <w:rsid w:val="00EB6523"/>
    <w:rsid w:val="00F0285D"/>
    <w:rsid w:val="00F143B1"/>
    <w:rsid w:val="00F53469"/>
    <w:rsid w:val="00F626B7"/>
    <w:rsid w:val="00F81ADC"/>
    <w:rsid w:val="00FA23F9"/>
    <w:rsid w:val="00FA73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69FCD"/>
  <w15:chartTrackingRefBased/>
  <w15:docId w15:val="{5F9E8627-EB82-46D0-A07D-5EF8A41A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B43"/>
  </w:style>
  <w:style w:type="paragraph" w:styleId="Kop1">
    <w:name w:val="heading 1"/>
    <w:basedOn w:val="Standaard"/>
    <w:next w:val="Standaard"/>
    <w:link w:val="Kop1Char"/>
    <w:qFormat/>
    <w:rsid w:val="00085363"/>
    <w:pPr>
      <w:keepNext/>
      <w:numPr>
        <w:numId w:val="3"/>
      </w:numPr>
      <w:suppressAutoHyphens/>
      <w:spacing w:after="0" w:line="240" w:lineRule="auto"/>
      <w:jc w:val="center"/>
      <w:outlineLvl w:val="0"/>
    </w:pPr>
    <w:rPr>
      <w:rFonts w:ascii="Tahoma" w:eastAsia="PMingLiU" w:hAnsi="Tahoma" w:cs="Times New Roman"/>
      <w:b/>
      <w:bCs/>
      <w:sz w:val="48"/>
      <w:szCs w:val="36"/>
      <w:u w:val="single"/>
      <w:lang w:val="nl-NL"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17B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317BA"/>
  </w:style>
  <w:style w:type="paragraph" w:styleId="Voettekst">
    <w:name w:val="footer"/>
    <w:basedOn w:val="Standaard"/>
    <w:link w:val="VoettekstChar"/>
    <w:unhideWhenUsed/>
    <w:rsid w:val="00B317B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317BA"/>
  </w:style>
  <w:style w:type="paragraph" w:styleId="Lijstalinea">
    <w:name w:val="List Paragraph"/>
    <w:basedOn w:val="Standaard"/>
    <w:uiPriority w:val="34"/>
    <w:qFormat/>
    <w:rsid w:val="00F143B1"/>
    <w:pPr>
      <w:ind w:left="720"/>
      <w:contextualSpacing/>
    </w:pPr>
  </w:style>
  <w:style w:type="character" w:customStyle="1" w:styleId="Kop1Char">
    <w:name w:val="Kop 1 Char"/>
    <w:basedOn w:val="Standaardalinea-lettertype"/>
    <w:link w:val="Kop1"/>
    <w:rsid w:val="00085363"/>
    <w:rPr>
      <w:rFonts w:ascii="Tahoma" w:eastAsia="PMingLiU" w:hAnsi="Tahoma" w:cs="Times New Roman"/>
      <w:b/>
      <w:bCs/>
      <w:sz w:val="48"/>
      <w:szCs w:val="36"/>
      <w:u w:val="single"/>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D304-4389-440A-847E-74337FE3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2305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Monteyne Dominique</dc:creator>
  <cp:keywords/>
  <dc:description/>
  <cp:lastModifiedBy>Monteyne Dominique</cp:lastModifiedBy>
  <cp:revision>8</cp:revision>
  <dcterms:created xsi:type="dcterms:W3CDTF">2022-09-16T08:00:00Z</dcterms:created>
  <dcterms:modified xsi:type="dcterms:W3CDTF">2026-03-09T10:32:00Z</dcterms:modified>
</cp:coreProperties>
</file>